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8"/>
        <w:gridCol w:w="3739"/>
        <w:gridCol w:w="651"/>
        <w:gridCol w:w="1727"/>
        <w:gridCol w:w="1180"/>
        <w:gridCol w:w="1571"/>
      </w:tblGrid>
      <w:tr w:rsidR="005763C1" w:rsidTr="00393B70">
        <w:tc>
          <w:tcPr>
            <w:tcW w:w="895" w:type="dxa"/>
          </w:tcPr>
          <w:p w:rsidR="005763C1" w:rsidRDefault="005763C1" w:rsidP="00393B70">
            <w:pPr>
              <w:tabs>
                <w:tab w:val="left" w:pos="1952"/>
              </w:tabs>
              <w:spacing w:before="160" w:after="160"/>
              <w:ind w:left="540" w:hanging="540"/>
              <w:rPr>
                <w:rFonts w:cs="Calibri"/>
                <w:b/>
                <w:bCs/>
                <w:sz w:val="22"/>
                <w:szCs w:val="22"/>
              </w:rPr>
            </w:pPr>
            <w:r>
              <w:rPr>
                <w:rFonts w:cs="Calibri"/>
                <w:b/>
                <w:bCs/>
                <w:sz w:val="22"/>
                <w:szCs w:val="22"/>
              </w:rPr>
              <w:t>PI</w:t>
            </w:r>
          </w:p>
        </w:tc>
        <w:tc>
          <w:tcPr>
            <w:tcW w:w="4119" w:type="dxa"/>
          </w:tcPr>
          <w:p w:rsidR="005763C1" w:rsidRDefault="005763C1" w:rsidP="00393B70">
            <w:pPr>
              <w:tabs>
                <w:tab w:val="left" w:pos="1952"/>
              </w:tabs>
              <w:spacing w:before="160" w:after="160"/>
              <w:ind w:left="540" w:hanging="540"/>
              <w:rPr>
                <w:rFonts w:cs="Calibri"/>
                <w:b/>
                <w:bCs/>
                <w:sz w:val="22"/>
                <w:szCs w:val="22"/>
              </w:rPr>
            </w:pPr>
          </w:p>
        </w:tc>
        <w:tc>
          <w:tcPr>
            <w:tcW w:w="651" w:type="dxa"/>
          </w:tcPr>
          <w:p w:rsidR="005763C1" w:rsidRDefault="005763C1" w:rsidP="00393B70">
            <w:pPr>
              <w:tabs>
                <w:tab w:val="left" w:pos="1952"/>
              </w:tabs>
              <w:spacing w:before="160" w:after="160"/>
              <w:ind w:left="540" w:hanging="540"/>
              <w:rPr>
                <w:rFonts w:cs="Calibri"/>
                <w:b/>
                <w:bCs/>
                <w:sz w:val="22"/>
                <w:szCs w:val="22"/>
              </w:rPr>
            </w:pPr>
            <w:r>
              <w:rPr>
                <w:rFonts w:cs="Calibri"/>
                <w:b/>
                <w:bCs/>
                <w:sz w:val="22"/>
                <w:szCs w:val="22"/>
              </w:rPr>
              <w:t>Date</w:t>
            </w:r>
          </w:p>
        </w:tc>
        <w:tc>
          <w:tcPr>
            <w:tcW w:w="1890" w:type="dxa"/>
          </w:tcPr>
          <w:p w:rsidR="005763C1" w:rsidRDefault="005763C1" w:rsidP="00393B70">
            <w:pPr>
              <w:tabs>
                <w:tab w:val="left" w:pos="1952"/>
              </w:tabs>
              <w:spacing w:before="160" w:after="160"/>
              <w:ind w:left="540" w:hanging="540"/>
              <w:rPr>
                <w:rFonts w:cs="Calibri"/>
                <w:b/>
                <w:bCs/>
                <w:sz w:val="22"/>
                <w:szCs w:val="22"/>
              </w:rPr>
            </w:pPr>
          </w:p>
        </w:tc>
        <w:tc>
          <w:tcPr>
            <w:tcW w:w="1184" w:type="dxa"/>
          </w:tcPr>
          <w:p w:rsidR="005763C1" w:rsidRDefault="005763C1" w:rsidP="00393B70">
            <w:pPr>
              <w:tabs>
                <w:tab w:val="left" w:pos="1952"/>
              </w:tabs>
              <w:spacing w:before="160" w:after="160"/>
              <w:ind w:left="540" w:hanging="540"/>
              <w:rPr>
                <w:rFonts w:cs="Calibri"/>
                <w:b/>
                <w:bCs/>
                <w:sz w:val="22"/>
                <w:szCs w:val="22"/>
              </w:rPr>
            </w:pPr>
            <w:r w:rsidRPr="00C16BBC">
              <w:rPr>
                <w:rFonts w:cs="Calibri"/>
                <w:b/>
                <w:bCs/>
                <w:sz w:val="22"/>
                <w:szCs w:val="22"/>
              </w:rPr>
              <w:t>Reference</w:t>
            </w:r>
          </w:p>
        </w:tc>
        <w:tc>
          <w:tcPr>
            <w:tcW w:w="1717" w:type="dxa"/>
          </w:tcPr>
          <w:p w:rsidR="005763C1" w:rsidRDefault="005763C1" w:rsidP="00393B70">
            <w:pPr>
              <w:tabs>
                <w:tab w:val="left" w:pos="1952"/>
              </w:tabs>
              <w:spacing w:before="160" w:after="160"/>
              <w:ind w:left="540" w:hanging="540"/>
              <w:rPr>
                <w:rFonts w:cs="Calibri"/>
                <w:b/>
                <w:bCs/>
                <w:sz w:val="22"/>
                <w:szCs w:val="22"/>
              </w:rPr>
            </w:pPr>
          </w:p>
        </w:tc>
      </w:tr>
      <w:tr w:rsidR="005763C1" w:rsidTr="00393B70">
        <w:tc>
          <w:tcPr>
            <w:tcW w:w="895" w:type="dxa"/>
          </w:tcPr>
          <w:p w:rsidR="005763C1" w:rsidRDefault="005763C1" w:rsidP="00393B70">
            <w:pPr>
              <w:tabs>
                <w:tab w:val="left" w:pos="1952"/>
              </w:tabs>
              <w:spacing w:before="160" w:after="160"/>
              <w:ind w:left="540" w:hanging="540"/>
              <w:rPr>
                <w:rFonts w:cs="Calibri"/>
                <w:b/>
                <w:bCs/>
                <w:sz w:val="22"/>
                <w:szCs w:val="22"/>
              </w:rPr>
            </w:pPr>
            <w:r>
              <w:rPr>
                <w:rFonts w:cs="Calibri"/>
                <w:b/>
                <w:bCs/>
                <w:sz w:val="22"/>
                <w:szCs w:val="22"/>
              </w:rPr>
              <w:t>Title</w:t>
            </w:r>
          </w:p>
        </w:tc>
        <w:tc>
          <w:tcPr>
            <w:tcW w:w="9561" w:type="dxa"/>
            <w:gridSpan w:val="5"/>
          </w:tcPr>
          <w:p w:rsidR="005763C1" w:rsidRDefault="005763C1" w:rsidP="00393B70">
            <w:pPr>
              <w:tabs>
                <w:tab w:val="left" w:pos="1952"/>
              </w:tabs>
              <w:spacing w:before="160" w:after="160"/>
              <w:ind w:left="540" w:hanging="540"/>
              <w:rPr>
                <w:rFonts w:cs="Calibri"/>
                <w:b/>
                <w:bCs/>
                <w:sz w:val="22"/>
                <w:szCs w:val="22"/>
              </w:rPr>
            </w:pPr>
          </w:p>
        </w:tc>
      </w:tr>
    </w:tbl>
    <w:p w:rsidR="005763C1" w:rsidRPr="005B74CE" w:rsidRDefault="005763C1" w:rsidP="005763C1">
      <w:pPr>
        <w:spacing w:before="0" w:after="0"/>
        <w:ind w:left="540" w:hanging="540"/>
        <w:rPr>
          <w:rFonts w:cs="Calibri"/>
          <w:b/>
          <w:bCs/>
          <w:sz w:val="12"/>
          <w:szCs w:val="22"/>
        </w:rPr>
      </w:pPr>
    </w:p>
    <w:tbl>
      <w:tblPr>
        <w:tblStyle w:val="GridTable6Colorful-Accent1"/>
        <w:tblW w:w="5000" w:type="pct"/>
        <w:tblLayout w:type="fixed"/>
        <w:tblLook w:val="04A0" w:firstRow="1" w:lastRow="0" w:firstColumn="1" w:lastColumn="0" w:noHBand="0" w:noVBand="1"/>
      </w:tblPr>
      <w:tblGrid>
        <w:gridCol w:w="805"/>
        <w:gridCol w:w="2496"/>
        <w:gridCol w:w="4116"/>
        <w:gridCol w:w="2319"/>
      </w:tblGrid>
      <w:tr w:rsidR="005763C1" w:rsidRPr="00C178AA" w:rsidTr="00F86E3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13" w:type="pct"/>
            <w:noWrap/>
            <w:hideMark/>
          </w:tcPr>
          <w:p w:rsidR="005763C1" w:rsidRPr="00C16BBC" w:rsidRDefault="005763C1" w:rsidP="005B74CE">
            <w:pPr>
              <w:spacing w:before="80" w:after="80"/>
              <w:ind w:left="540" w:hanging="540"/>
              <w:jc w:val="center"/>
              <w:rPr>
                <w:rFonts w:cs="Calibri"/>
                <w:bCs w:val="0"/>
                <w:sz w:val="22"/>
                <w:szCs w:val="22"/>
              </w:rPr>
            </w:pPr>
            <w:r w:rsidRPr="00C16BBC">
              <w:rPr>
                <w:rFonts w:cs="Calibri"/>
                <w:bCs w:val="0"/>
                <w:sz w:val="22"/>
                <w:szCs w:val="22"/>
              </w:rPr>
              <w:t>Note</w:t>
            </w:r>
          </w:p>
        </w:tc>
        <w:tc>
          <w:tcPr>
            <w:tcW w:w="1282" w:type="pct"/>
            <w:noWrap/>
            <w:hideMark/>
          </w:tcPr>
          <w:p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cs="Calibri"/>
                <w:bCs w:val="0"/>
                <w:sz w:val="22"/>
                <w:szCs w:val="22"/>
              </w:rPr>
            </w:pPr>
            <w:r w:rsidRPr="00C16BBC">
              <w:rPr>
                <w:rFonts w:cs="Calibri"/>
                <w:bCs w:val="0"/>
                <w:sz w:val="22"/>
                <w:szCs w:val="22"/>
              </w:rPr>
              <w:t>Risk area</w:t>
            </w:r>
          </w:p>
        </w:tc>
        <w:tc>
          <w:tcPr>
            <w:tcW w:w="2114" w:type="pct"/>
            <w:noWrap/>
            <w:hideMark/>
          </w:tcPr>
          <w:p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336699"/>
                <w:sz w:val="22"/>
                <w:szCs w:val="22"/>
              </w:rPr>
            </w:pPr>
            <w:r w:rsidRPr="00C16BBC">
              <w:rPr>
                <w:rFonts w:asciiTheme="majorHAnsi" w:hAnsiTheme="majorHAnsi" w:cs="Calibri"/>
                <w:bCs w:val="0"/>
                <w:color w:val="336699"/>
                <w:sz w:val="22"/>
                <w:szCs w:val="22"/>
              </w:rPr>
              <w:t>Risk  (examples give as prompts, not an exhaustive list)</w:t>
            </w:r>
          </w:p>
        </w:tc>
        <w:tc>
          <w:tcPr>
            <w:tcW w:w="1191" w:type="pct"/>
            <w:noWrap/>
            <w:hideMark/>
          </w:tcPr>
          <w:p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cs="Calibri"/>
                <w:bCs w:val="0"/>
                <w:sz w:val="22"/>
                <w:szCs w:val="22"/>
              </w:rPr>
            </w:pPr>
            <w:r w:rsidRPr="00C16BBC">
              <w:rPr>
                <w:rFonts w:cs="Calibri"/>
                <w:bCs w:val="0"/>
                <w:sz w:val="22"/>
                <w:szCs w:val="22"/>
              </w:rPr>
              <w:t>Actions/Comments</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New sponsor</w:t>
            </w:r>
          </w:p>
        </w:tc>
        <w:tc>
          <w:tcPr>
            <w:tcW w:w="2114" w:type="pct"/>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Ethical, financial, reputational, or Terms &amp; Conditions not optimal/acceptable </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9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HR - all applicants/named posts eligible</w:t>
            </w:r>
          </w:p>
        </w:tc>
        <w:tc>
          <w:tcPr>
            <w:tcW w:w="2114" w:type="pct"/>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proofErr w:type="spellStart"/>
            <w:r w:rsidRPr="00C16BBC">
              <w:rPr>
                <w:rFonts w:asciiTheme="majorHAnsi" w:hAnsiTheme="majorHAnsi" w:cs="Calibri"/>
                <w:color w:val="336699"/>
                <w:sz w:val="22"/>
                <w:szCs w:val="22"/>
              </w:rPr>
              <w:t>VRA</w:t>
            </w:r>
            <w:proofErr w:type="spellEnd"/>
            <w:r w:rsidRPr="00C16BBC">
              <w:rPr>
                <w:rFonts w:asciiTheme="majorHAnsi" w:hAnsiTheme="majorHAnsi" w:cs="Calibri"/>
                <w:color w:val="336699"/>
                <w:sz w:val="22"/>
                <w:szCs w:val="22"/>
              </w:rPr>
              <w:t xml:space="preserve">, contract extension, </w:t>
            </w:r>
            <w:proofErr w:type="spellStart"/>
            <w:r w:rsidRPr="00C16BBC">
              <w:rPr>
                <w:rFonts w:asciiTheme="majorHAnsi" w:hAnsiTheme="majorHAnsi" w:cs="Calibri"/>
                <w:color w:val="336699"/>
                <w:sz w:val="22"/>
                <w:szCs w:val="22"/>
              </w:rPr>
              <w:t>DoR</w:t>
            </w:r>
            <w:proofErr w:type="spellEnd"/>
            <w:r w:rsidRPr="00C16BBC">
              <w:rPr>
                <w:rFonts w:asciiTheme="majorHAnsi" w:hAnsiTheme="majorHAnsi" w:cs="Calibri"/>
                <w:color w:val="336699"/>
                <w:sz w:val="22"/>
                <w:szCs w:val="22"/>
              </w:rPr>
              <w:t xml:space="preserve"> required; college contract required, student status issues etc.</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PI FTE acceptable/</w:t>
            </w:r>
            <w:r>
              <w:rPr>
                <w:rFonts w:cs="Calibri"/>
                <w:sz w:val="22"/>
                <w:szCs w:val="22"/>
              </w:rPr>
              <w:t xml:space="preserve"> </w:t>
            </w:r>
            <w:r w:rsidRPr="00C178AA">
              <w:rPr>
                <w:rFonts w:cs="Calibri"/>
                <w:sz w:val="22"/>
                <w:szCs w:val="22"/>
              </w:rPr>
              <w:t>available?</w:t>
            </w:r>
            <w:r w:rsidRPr="00C178AA">
              <w:rPr>
                <w:rFonts w:cs="Calibri"/>
                <w:sz w:val="22"/>
                <w:szCs w:val="22"/>
              </w:rPr>
              <w:br/>
              <w:t>Should PI be DI or DA?</w:t>
            </w:r>
          </w:p>
        </w:tc>
        <w:tc>
          <w:tcPr>
            <w:tcW w:w="2114" w:type="pct"/>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PI over-committed, more than 100% so cannot claim salary or indirect costs, unable to teach.  OR not-Chest funded so needs to be DI?</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Teaching buy out required?</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Time and funds must be available and agreed by the Head of Department </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B74CE" w:rsidRPr="00C178AA"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B74CE" w:rsidRPr="005B74CE" w:rsidRDefault="005B74CE" w:rsidP="005B74CE">
            <w:pPr>
              <w:pStyle w:val="ListParagraph"/>
              <w:numPr>
                <w:ilvl w:val="0"/>
                <w:numId w:val="6"/>
              </w:numPr>
              <w:spacing w:before="80" w:after="80"/>
              <w:rPr>
                <w:rFonts w:cs="Calibri"/>
                <w:b w:val="0"/>
                <w:sz w:val="22"/>
                <w:szCs w:val="22"/>
              </w:rPr>
            </w:pPr>
          </w:p>
        </w:tc>
        <w:tc>
          <w:tcPr>
            <w:tcW w:w="1282" w:type="pct"/>
            <w:noWrap/>
          </w:tcPr>
          <w:p w:rsidR="005B74CE" w:rsidRPr="00C178AA" w:rsidRDefault="005B74CE"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5B74CE">
              <w:rPr>
                <w:rFonts w:cs="Calibri"/>
                <w:sz w:val="22"/>
                <w:szCs w:val="22"/>
              </w:rPr>
              <w:t>Staff and students working more than 6 months cumulatively in a single year abroad</w:t>
            </w:r>
          </w:p>
        </w:tc>
        <w:tc>
          <w:tcPr>
            <w:tcW w:w="2114" w:type="pct"/>
            <w:noWrap/>
          </w:tcPr>
          <w:p w:rsidR="005B74CE" w:rsidRPr="005B74CE" w:rsidRDefault="00DD336F"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Pr>
                <w:rFonts w:asciiTheme="majorHAnsi" w:hAnsiTheme="majorHAnsi" w:cs="Calibri"/>
                <w:color w:val="336699"/>
                <w:sz w:val="22"/>
                <w:szCs w:val="22"/>
              </w:rPr>
              <w:t>Guidance c</w:t>
            </w:r>
            <w:r w:rsidR="005B74CE" w:rsidRPr="005B74CE">
              <w:rPr>
                <w:rFonts w:asciiTheme="majorHAnsi" w:hAnsiTheme="majorHAnsi" w:cs="Calibri"/>
                <w:color w:val="336699"/>
                <w:sz w:val="22"/>
                <w:szCs w:val="22"/>
              </w:rPr>
              <w:t xml:space="preserve">an be found using this link. </w:t>
            </w:r>
            <w:hyperlink r:id="rId7" w:history="1">
              <w:r w:rsidR="005B74CE" w:rsidRPr="005B74CE">
                <w:rPr>
                  <w:rFonts w:asciiTheme="majorHAnsi" w:hAnsiTheme="majorHAnsi" w:cs="Calibri"/>
                  <w:color w:val="0033CC"/>
                  <w:sz w:val="22"/>
                  <w:szCs w:val="22"/>
                  <w:u w:val="single"/>
                </w:rPr>
                <w:t>https://www.hr.admin.cam.ac.uk/policies-procedures/overseas-working</w:t>
              </w:r>
            </w:hyperlink>
            <w:r w:rsidR="005B74CE" w:rsidRPr="005B74CE">
              <w:rPr>
                <w:rFonts w:asciiTheme="majorHAnsi" w:hAnsiTheme="majorHAnsi" w:cs="Calibri"/>
                <w:color w:val="336699"/>
                <w:sz w:val="22"/>
                <w:szCs w:val="22"/>
                <w:u w:val="single"/>
              </w:rPr>
              <w:t xml:space="preserve"> </w:t>
            </w:r>
          </w:p>
        </w:tc>
        <w:tc>
          <w:tcPr>
            <w:tcW w:w="1191" w:type="pct"/>
            <w:noWrap/>
          </w:tcPr>
          <w:p w:rsidR="005B74CE" w:rsidRPr="00C178AA" w:rsidRDefault="005B74CE"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Space </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Space for project staff/equipment available</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xml:space="preserve">Buildings </w:t>
            </w:r>
          </w:p>
        </w:tc>
        <w:tc>
          <w:tcPr>
            <w:tcW w:w="2114" w:type="pct"/>
            <w:noWrap/>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Refurbishment or modification required</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Other staff not on grant</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Admin or IT required to deliver project</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All appropriate costs recovered?</w:t>
            </w:r>
          </w:p>
        </w:tc>
        <w:tc>
          <w:tcPr>
            <w:tcW w:w="2114" w:type="pct"/>
            <w:noWrap/>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Not all potential costs recovered; shortfall on direct costs or Chest share of overheads</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VAT </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VAT can be “self-charged” not eligible to the sponsor, incurred by sub-contracts, etc. and could become a cost to the Department</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Sub-contractors; Suppliers;</w:t>
            </w:r>
            <w:r w:rsidRPr="00C178AA">
              <w:rPr>
                <w:rFonts w:cs="Calibri"/>
                <w:sz w:val="22"/>
                <w:szCs w:val="22"/>
              </w:rPr>
              <w:br/>
              <w:t>Collaborators;</w:t>
            </w:r>
            <w:r w:rsidRPr="00C178AA">
              <w:rPr>
                <w:rFonts w:cs="Calibri"/>
                <w:sz w:val="22"/>
                <w:szCs w:val="22"/>
              </w:rPr>
              <w:br/>
              <w:t>Sub-awardee</w:t>
            </w:r>
          </w:p>
        </w:tc>
        <w:tc>
          <w:tcPr>
            <w:tcW w:w="2114" w:type="pct"/>
            <w:noWrap/>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Various implications for collaborating third parties (not funders) - may need to be named at application</w:t>
            </w:r>
            <w:r w:rsidR="001E2DB8">
              <w:rPr>
                <w:rFonts w:asciiTheme="majorHAnsi" w:hAnsiTheme="majorHAnsi" w:cs="Calibri"/>
                <w:color w:val="336699"/>
                <w:sz w:val="22"/>
                <w:szCs w:val="22"/>
              </w:rPr>
              <w:t xml:space="preserve"> stage; may involve Procurement; require due diligence for international collaborators (especially Global Challenges Research Fund)</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Ethics – human subjects</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Approval not received or likely (consider ethics, R&amp;D approval and site approvals </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xml:space="preserve">Terms &amp; Conditions and Contracts </w:t>
            </w:r>
          </w:p>
        </w:tc>
        <w:tc>
          <w:tcPr>
            <w:tcW w:w="2114" w:type="pct"/>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Risk of unacceptable restrictions included in standard as well as negotiable contracts </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945"/>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Equipment </w:t>
            </w:r>
          </w:p>
        </w:tc>
        <w:tc>
          <w:tcPr>
            <w:tcW w:w="2114" w:type="pct"/>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Equipment sharing, matching funds or business case required, are there sponsor restrictions on use or charging for use of equipment?</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Cross Department/Faculty collaborations</w:t>
            </w:r>
          </w:p>
        </w:tc>
        <w:tc>
          <w:tcPr>
            <w:tcW w:w="2114" w:type="pct"/>
            <w:hideMark/>
          </w:tcPr>
          <w:p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Agree resource/overhead and budget split in advance to avoid delays at award stage</w:t>
            </w:r>
          </w:p>
        </w:tc>
        <w:tc>
          <w:tcPr>
            <w:tcW w:w="1191" w:type="pct"/>
            <w:noWrap/>
            <w:hideMark/>
          </w:tcPr>
          <w:p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Tenders</w:t>
            </w:r>
          </w:p>
        </w:tc>
        <w:tc>
          <w:tcPr>
            <w:tcW w:w="2114" w:type="pct"/>
            <w:noWrap/>
            <w:hideMark/>
          </w:tcPr>
          <w:p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Potential for unacceptable terms</w:t>
            </w:r>
          </w:p>
        </w:tc>
        <w:tc>
          <w:tcPr>
            <w:tcW w:w="1191" w:type="pct"/>
            <w:noWrap/>
            <w:hideMark/>
          </w:tcPr>
          <w:p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bl>
    <w:p w:rsidR="005763C1" w:rsidRDefault="005763C1" w:rsidP="005763C1">
      <w:pPr>
        <w:tabs>
          <w:tab w:val="left" w:pos="744"/>
          <w:tab w:val="left" w:pos="3508"/>
          <w:tab w:val="left" w:pos="7121"/>
        </w:tabs>
        <w:spacing w:before="0" w:after="0"/>
        <w:ind w:left="540" w:hanging="540"/>
        <w:rPr>
          <w:rFonts w:ascii="Arial" w:hAnsi="Arial" w:cs="Arial"/>
          <w:b/>
          <w:color w:val="000000"/>
          <w:sz w:val="24"/>
          <w:szCs w:val="22"/>
        </w:rPr>
      </w:pPr>
    </w:p>
    <w:p w:rsidR="005763C1" w:rsidRDefault="005763C1" w:rsidP="005763C1">
      <w:pPr>
        <w:tabs>
          <w:tab w:val="left" w:pos="744"/>
          <w:tab w:val="left" w:pos="3508"/>
          <w:tab w:val="left" w:pos="7121"/>
        </w:tabs>
        <w:spacing w:before="0" w:after="0"/>
        <w:ind w:left="540" w:hanging="540"/>
        <w:rPr>
          <w:rFonts w:ascii="Arial" w:hAnsi="Arial" w:cs="Arial"/>
          <w:b/>
          <w:color w:val="000000"/>
          <w:sz w:val="24"/>
          <w:szCs w:val="22"/>
        </w:rPr>
      </w:pPr>
    </w:p>
    <w:p w:rsidR="005763C1" w:rsidRPr="00C16BBC" w:rsidRDefault="005763C1" w:rsidP="005763C1">
      <w:pPr>
        <w:tabs>
          <w:tab w:val="left" w:pos="744"/>
          <w:tab w:val="left" w:pos="3508"/>
          <w:tab w:val="left" w:pos="7121"/>
        </w:tabs>
        <w:spacing w:before="0" w:after="0"/>
        <w:ind w:left="540" w:hanging="540"/>
        <w:rPr>
          <w:rFonts w:asciiTheme="minorHAnsi" w:hAnsiTheme="minorHAnsi" w:cs="Arial"/>
          <w:b/>
          <w:color w:val="404040" w:themeColor="text1" w:themeTint="BF"/>
          <w:sz w:val="24"/>
          <w:szCs w:val="22"/>
        </w:rPr>
      </w:pPr>
      <w:r w:rsidRPr="00C16BBC">
        <w:rPr>
          <w:rFonts w:asciiTheme="minorHAnsi" w:hAnsiTheme="minorHAnsi" w:cs="Arial"/>
          <w:b/>
          <w:color w:val="404040" w:themeColor="text1" w:themeTint="BF"/>
          <w:sz w:val="24"/>
          <w:szCs w:val="22"/>
        </w:rPr>
        <w:t>NOTE:</w:t>
      </w:r>
    </w:p>
    <w:p w:rsidR="005763C1" w:rsidRPr="00C16BBC" w:rsidRDefault="005763C1" w:rsidP="005763C1">
      <w:pPr>
        <w:tabs>
          <w:tab w:val="left" w:pos="744"/>
          <w:tab w:val="left" w:pos="3508"/>
          <w:tab w:val="left" w:pos="7121"/>
        </w:tabs>
        <w:spacing w:before="0" w:after="0"/>
        <w:ind w:left="540" w:hanging="540"/>
        <w:rPr>
          <w:rFonts w:asciiTheme="minorHAnsi" w:hAnsiTheme="minorHAnsi" w:cs="Arial"/>
          <w:color w:val="404040" w:themeColor="text1" w:themeTint="BF"/>
          <w:sz w:val="24"/>
          <w:szCs w:val="22"/>
        </w:rPr>
      </w:pP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This form was developed to assist Departments in undertaking risk assessment of grant applications prior to submission to the R</w:t>
      </w:r>
      <w:bookmarkStart w:id="0" w:name="_GoBack"/>
      <w:bookmarkEnd w:id="0"/>
      <w:r w:rsidRPr="00C16BBC">
        <w:rPr>
          <w:rFonts w:asciiTheme="minorHAnsi" w:hAnsiTheme="minorHAnsi" w:cs="Arial"/>
          <w:color w:val="404040" w:themeColor="text1" w:themeTint="BF"/>
          <w:sz w:val="24"/>
          <w:szCs w:val="22"/>
        </w:rPr>
        <w:t xml:space="preserve">esearch Operations Office (ROO), and can be adapted to suit specific Department use.  </w:t>
      </w: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 xml:space="preserve">Submission of a grant application to the Research Operations Office is taken as confirmation that the Department is aware of and accepts any risks associated with the project, irrespective of a completed form being provided.  </w:t>
      </w: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However, if a Department choses to use this form to accompany an application to ROO, please:</w:t>
      </w:r>
    </w:p>
    <w:p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Complete the form, including any mitigating actions or acceptance of identified risks</w:t>
      </w:r>
    </w:p>
    <w:p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Expand the form as required, including adding other identified and accepted risks</w:t>
      </w:r>
    </w:p>
    <w:p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Please retain one copy for the Departmental file</w:t>
      </w:r>
    </w:p>
    <w:p w:rsidR="005763C1" w:rsidRPr="00C16BBC" w:rsidRDefault="005763C1" w:rsidP="005763C1">
      <w:pPr>
        <w:pStyle w:val="ListParagraph"/>
        <w:numPr>
          <w:ilvl w:val="0"/>
          <w:numId w:val="2"/>
        </w:numPr>
        <w:tabs>
          <w:tab w:val="left" w:pos="540"/>
          <w:tab w:val="left" w:pos="3508"/>
          <w:tab w:val="left" w:pos="7121"/>
        </w:tabs>
        <w:ind w:left="540" w:hanging="54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Please send one copy of the competed form to your usual contact in the Research Operations Office with the application.</w:t>
      </w:r>
    </w:p>
    <w:p w:rsidR="005763C1" w:rsidRPr="00C16BBC" w:rsidRDefault="005763C1" w:rsidP="005763C1">
      <w:pPr>
        <w:pStyle w:val="ListParagraph"/>
        <w:numPr>
          <w:ilvl w:val="0"/>
          <w:numId w:val="2"/>
        </w:numPr>
        <w:tabs>
          <w:tab w:val="left" w:pos="540"/>
          <w:tab w:val="left" w:pos="3508"/>
          <w:tab w:val="left" w:pos="7121"/>
        </w:tabs>
        <w:ind w:left="540" w:hanging="540"/>
        <w:contextualSpacing w:val="0"/>
        <w:rPr>
          <w:rFonts w:asciiTheme="minorHAnsi" w:hAnsiTheme="minorHAnsi"/>
          <w:color w:val="404040" w:themeColor="text1" w:themeTint="BF"/>
          <w:sz w:val="24"/>
          <w:szCs w:val="22"/>
        </w:rPr>
      </w:pPr>
      <w:r w:rsidRPr="00A12CD8">
        <w:rPr>
          <w:rFonts w:asciiTheme="minorHAnsi" w:hAnsiTheme="minorHAnsi"/>
          <w:b/>
          <w:color w:val="404040" w:themeColor="text1" w:themeTint="BF"/>
          <w:sz w:val="24"/>
          <w:szCs w:val="22"/>
        </w:rPr>
        <w:t>ONLY</w:t>
      </w:r>
      <w:r w:rsidRPr="00C16BBC">
        <w:rPr>
          <w:rFonts w:asciiTheme="minorHAnsi" w:hAnsiTheme="minorHAnsi"/>
          <w:color w:val="404040" w:themeColor="text1" w:themeTint="BF"/>
          <w:sz w:val="24"/>
          <w:szCs w:val="22"/>
        </w:rPr>
        <w:t xml:space="preserve"> send the form and submit an application if the Department approves submission of an application </w:t>
      </w:r>
      <w:r w:rsidRPr="00C16BBC">
        <w:rPr>
          <w:rFonts w:asciiTheme="minorHAnsi" w:hAnsiTheme="minorHAnsi"/>
          <w:color w:val="404040" w:themeColor="text1" w:themeTint="BF"/>
          <w:sz w:val="24"/>
          <w:szCs w:val="22"/>
        </w:rPr>
        <w:lastRenderedPageBreak/>
        <w:t>with the known risks – submission of the form with identified risks does not transfer the responsibility for resolving any outstanding issues, which should be discussed and resolved or accepted before submission.</w:t>
      </w:r>
    </w:p>
    <w:p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 xml:space="preserve">Please contact the </w:t>
      </w:r>
      <w:hyperlink r:id="rId8" w:history="1">
        <w:r w:rsidRPr="00C16BBC">
          <w:rPr>
            <w:rStyle w:val="Hyperlink"/>
            <w:rFonts w:asciiTheme="minorHAnsi" w:hAnsiTheme="minorHAnsi" w:cs="Arial"/>
            <w:sz w:val="24"/>
            <w:szCs w:val="22"/>
            <w14:textFill>
              <w14:solidFill>
                <w14:srgbClr w14:val="0000FF">
                  <w14:lumMod w14:val="75000"/>
                  <w14:lumOff w14:val="25000"/>
                </w14:srgbClr>
              </w14:solidFill>
            </w14:textFill>
          </w:rPr>
          <w:t>Research Operations Office</w:t>
        </w:r>
      </w:hyperlink>
      <w:r w:rsidRPr="00C16BBC">
        <w:rPr>
          <w:rFonts w:asciiTheme="minorHAnsi" w:hAnsiTheme="minorHAnsi" w:cs="Arial"/>
          <w:color w:val="404040" w:themeColor="text1" w:themeTint="BF"/>
          <w:sz w:val="24"/>
          <w:szCs w:val="22"/>
        </w:rPr>
        <w:t xml:space="preserve"> to discuss any issues or for clarity on the use of this form.</w:t>
      </w:r>
    </w:p>
    <w:p w:rsidR="005763C1" w:rsidRPr="00C16BBC" w:rsidRDefault="005763C1" w:rsidP="005763C1">
      <w:pPr>
        <w:tabs>
          <w:tab w:val="left" w:pos="744"/>
          <w:tab w:val="left" w:pos="3508"/>
          <w:tab w:val="left" w:pos="7121"/>
        </w:tabs>
        <w:spacing w:before="0" w:after="0"/>
        <w:ind w:left="540" w:hanging="540"/>
        <w:rPr>
          <w:rFonts w:asciiTheme="minorHAnsi" w:hAnsiTheme="minorHAnsi" w:cs="Arial"/>
          <w:color w:val="404040" w:themeColor="text1" w:themeTint="BF"/>
          <w:sz w:val="24"/>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1"/>
        <w:gridCol w:w="6455"/>
      </w:tblGrid>
      <w:tr w:rsidR="005763C1" w:rsidTr="00393B70">
        <w:tc>
          <w:tcPr>
            <w:tcW w:w="3415" w:type="dxa"/>
            <w:vAlign w:val="center"/>
          </w:tcPr>
          <w:p w:rsidR="005763C1" w:rsidRDefault="005763C1" w:rsidP="00A12CD8">
            <w:pPr>
              <w:tabs>
                <w:tab w:val="left" w:pos="1952"/>
              </w:tabs>
              <w:spacing w:before="0"/>
              <w:rPr>
                <w:rFonts w:cs="Calibri"/>
                <w:b/>
                <w:bCs/>
                <w:sz w:val="22"/>
                <w:szCs w:val="22"/>
              </w:rPr>
            </w:pPr>
            <w:r>
              <w:rPr>
                <w:rFonts w:cs="Calibri"/>
                <w:b/>
                <w:bCs/>
                <w:sz w:val="22"/>
                <w:szCs w:val="22"/>
              </w:rPr>
              <w:t>Approved by:</w:t>
            </w:r>
          </w:p>
          <w:p w:rsidR="005763C1" w:rsidRPr="00386C66" w:rsidRDefault="005763C1" w:rsidP="00A12CD8">
            <w:pPr>
              <w:tabs>
                <w:tab w:val="left" w:pos="1952"/>
              </w:tabs>
              <w:spacing w:before="0"/>
              <w:rPr>
                <w:rFonts w:cs="Calibri"/>
                <w:bCs/>
                <w:i/>
                <w:sz w:val="22"/>
                <w:szCs w:val="22"/>
              </w:rPr>
            </w:pPr>
            <w:r w:rsidRPr="005763C1">
              <w:rPr>
                <w:rFonts w:cs="Calibri"/>
                <w:bCs/>
                <w:i/>
                <w:szCs w:val="22"/>
              </w:rPr>
              <w:t>Head of Department/Faculty or Delegated Authority</w:t>
            </w:r>
          </w:p>
        </w:tc>
        <w:tc>
          <w:tcPr>
            <w:tcW w:w="7041" w:type="dxa"/>
          </w:tcPr>
          <w:p w:rsidR="005763C1" w:rsidRDefault="005763C1" w:rsidP="005763C1">
            <w:pPr>
              <w:tabs>
                <w:tab w:val="left" w:pos="1952"/>
              </w:tabs>
              <w:spacing w:before="160" w:after="160"/>
              <w:rPr>
                <w:rFonts w:cs="Calibri"/>
                <w:b/>
                <w:bCs/>
                <w:sz w:val="22"/>
                <w:szCs w:val="22"/>
              </w:rPr>
            </w:pPr>
          </w:p>
        </w:tc>
      </w:tr>
      <w:tr w:rsidR="005763C1" w:rsidTr="00393B70">
        <w:tc>
          <w:tcPr>
            <w:tcW w:w="3415" w:type="dxa"/>
            <w:vAlign w:val="center"/>
          </w:tcPr>
          <w:p w:rsidR="005763C1" w:rsidRDefault="005763C1" w:rsidP="005763C1">
            <w:pPr>
              <w:tabs>
                <w:tab w:val="left" w:pos="1952"/>
              </w:tabs>
              <w:spacing w:before="0"/>
              <w:jc w:val="both"/>
              <w:rPr>
                <w:rFonts w:cs="Calibri"/>
                <w:b/>
                <w:bCs/>
                <w:sz w:val="22"/>
                <w:szCs w:val="22"/>
              </w:rPr>
            </w:pPr>
            <w:r>
              <w:rPr>
                <w:rFonts w:cs="Calibri"/>
                <w:b/>
                <w:bCs/>
                <w:sz w:val="22"/>
                <w:szCs w:val="22"/>
              </w:rPr>
              <w:t>Date:</w:t>
            </w:r>
          </w:p>
        </w:tc>
        <w:tc>
          <w:tcPr>
            <w:tcW w:w="7041" w:type="dxa"/>
          </w:tcPr>
          <w:p w:rsidR="005763C1" w:rsidRDefault="005763C1" w:rsidP="005763C1">
            <w:pPr>
              <w:tabs>
                <w:tab w:val="left" w:pos="1952"/>
              </w:tabs>
              <w:spacing w:before="160" w:after="160"/>
              <w:rPr>
                <w:rFonts w:cs="Calibri"/>
                <w:b/>
                <w:bCs/>
                <w:sz w:val="22"/>
                <w:szCs w:val="22"/>
              </w:rPr>
            </w:pPr>
          </w:p>
        </w:tc>
      </w:tr>
    </w:tbl>
    <w:p w:rsidR="005763C1" w:rsidRDefault="005763C1" w:rsidP="005763C1">
      <w:pPr>
        <w:tabs>
          <w:tab w:val="left" w:pos="744"/>
          <w:tab w:val="left" w:pos="3508"/>
          <w:tab w:val="left" w:pos="7121"/>
        </w:tabs>
        <w:spacing w:before="0" w:after="0"/>
        <w:ind w:left="540" w:hanging="540"/>
        <w:rPr>
          <w:rFonts w:ascii="Arial" w:hAnsi="Arial" w:cs="Arial"/>
          <w:color w:val="000000"/>
          <w:sz w:val="24"/>
          <w:szCs w:val="22"/>
        </w:rPr>
      </w:pPr>
    </w:p>
    <w:p w:rsidR="005763C1" w:rsidRDefault="005763C1" w:rsidP="005763C1">
      <w:pPr>
        <w:pStyle w:val="Heading1"/>
        <w:rPr>
          <w:sz w:val="22"/>
        </w:rPr>
      </w:pPr>
      <w:r w:rsidRPr="00E73DFB">
        <w:t>NOTES</w:t>
      </w:r>
    </w:p>
    <w:p w:rsidR="005763C1" w:rsidRPr="005763C1" w:rsidRDefault="005763C1" w:rsidP="005763C1">
      <w:pPr>
        <w:pStyle w:val="Heading2"/>
        <w:numPr>
          <w:ilvl w:val="0"/>
          <w:numId w:val="3"/>
        </w:numPr>
        <w:rPr>
          <w:rFonts w:cs="Calibri"/>
          <w:b/>
        </w:rPr>
      </w:pPr>
      <w:r w:rsidRPr="005763C1">
        <w:t>New Sponsor</w:t>
      </w:r>
      <w:r w:rsidRPr="005763C1">
        <w:rPr>
          <w:rFonts w:cs="Calibri"/>
          <w:b/>
        </w:rPr>
        <w:tab/>
      </w:r>
    </w:p>
    <w:p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For new sponsors the ROO requires a new sponsor request form to be completed and submitted to the RSA with any relevant documentation.  Guidance notes accompany the form, as full and correct completion enables a quick turn-round, e.g. web URL.  </w:t>
      </w:r>
    </w:p>
    <w:p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Please ensure any costings undertaken prior to the full set up of the new sponsor is completed are on the appropriate costing model, maximising full economic cost recovery.  </w:t>
      </w:r>
    </w:p>
    <w:p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ROO liaise with Research Accounting and International Strategy Office, depending on circumstances of the sponsor, so please allow 5-10 days for a new sponsor to be fully checked.  </w:t>
      </w:r>
    </w:p>
    <w:p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lastRenderedPageBreak/>
        <w:t xml:space="preserve">Terms &amp; Conditions must be understood and accepted prior to the grant application being submitted. </w:t>
      </w:r>
    </w:p>
    <w:p w:rsidR="005763C1" w:rsidRPr="005763C1" w:rsidRDefault="005763C1" w:rsidP="000627C9">
      <w:pPr>
        <w:ind w:left="360"/>
        <w:rPr>
          <w:rFonts w:asciiTheme="minorHAnsi" w:hAnsiTheme="minorHAnsi"/>
          <w:sz w:val="22"/>
          <w:szCs w:val="22"/>
        </w:rPr>
      </w:pPr>
      <w:r w:rsidRPr="005763C1">
        <w:rPr>
          <w:rFonts w:asciiTheme="minorHAnsi" w:hAnsiTheme="minorHAnsi"/>
          <w:i/>
          <w:color w:val="404040" w:themeColor="text1" w:themeTint="BF"/>
          <w:sz w:val="22"/>
          <w:szCs w:val="22"/>
        </w:rPr>
        <w:t>New Sponsor request form and guidance available from:</w:t>
      </w:r>
      <w:r w:rsidRPr="005763C1">
        <w:rPr>
          <w:rFonts w:asciiTheme="minorHAnsi" w:hAnsiTheme="minorHAnsi"/>
          <w:color w:val="404040" w:themeColor="text1" w:themeTint="BF"/>
          <w:sz w:val="22"/>
          <w:szCs w:val="22"/>
        </w:rPr>
        <w:t xml:space="preserve">  </w:t>
      </w:r>
      <w:hyperlink r:id="rId9" w:history="1">
        <w:r w:rsidRPr="005763C1">
          <w:rPr>
            <w:rStyle w:val="Hyperlink"/>
            <w:rFonts w:asciiTheme="minorHAnsi" w:hAnsiTheme="minorHAnsi" w:cs="Calibri"/>
            <w:sz w:val="22"/>
            <w:szCs w:val="22"/>
          </w:rPr>
          <w:t>https://www.research-operations.admin.cam.ac.uk/costing-and-pricing-research-proposal/x5/requesting-new-funders-schemes</w:t>
        </w:r>
      </w:hyperlink>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b/>
          <w:color w:val="404040" w:themeColor="text1" w:themeTint="BF"/>
          <w:sz w:val="22"/>
          <w:szCs w:val="22"/>
        </w:rPr>
        <w:t>Note</w:t>
      </w:r>
      <w:r w:rsidRPr="005763C1">
        <w:rPr>
          <w:rFonts w:asciiTheme="minorHAnsi" w:hAnsiTheme="minorHAnsi" w:cs="Calibri"/>
          <w:color w:val="404040" w:themeColor="text1" w:themeTint="BF"/>
          <w:sz w:val="22"/>
          <w:szCs w:val="22"/>
        </w:rPr>
        <w:t xml:space="preserve">: this form is for internal use only and </w:t>
      </w:r>
      <w:r w:rsidRPr="005763C1">
        <w:rPr>
          <w:rFonts w:asciiTheme="minorHAnsi" w:hAnsiTheme="minorHAnsi" w:cs="Calibri"/>
          <w:b/>
          <w:color w:val="404040" w:themeColor="text1" w:themeTint="BF"/>
          <w:sz w:val="22"/>
          <w:szCs w:val="22"/>
        </w:rPr>
        <w:t>NOT</w:t>
      </w:r>
      <w:r w:rsidRPr="005763C1">
        <w:rPr>
          <w:rFonts w:asciiTheme="minorHAnsi" w:hAnsiTheme="minorHAnsi" w:cs="Calibri"/>
          <w:color w:val="404040" w:themeColor="text1" w:themeTint="BF"/>
          <w:sz w:val="22"/>
          <w:szCs w:val="22"/>
        </w:rPr>
        <w:t xml:space="preserve"> for sending to the sponsor to complete their own details.</w:t>
      </w:r>
    </w:p>
    <w:p w:rsidR="005763C1" w:rsidRPr="005763C1" w:rsidRDefault="005763C1" w:rsidP="005763C1">
      <w:pPr>
        <w:pStyle w:val="Heading2"/>
        <w:numPr>
          <w:ilvl w:val="0"/>
          <w:numId w:val="3"/>
        </w:numPr>
      </w:pPr>
      <w:r w:rsidRPr="005763C1">
        <w:t>HR</w:t>
      </w:r>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The PI should meet the criteria for the specific sponsor call, e.g. years from PhD.  If the PI's current contract should cover the full proposed period of the grant.  Where the PI is due to retire during the period of the grant, the University's policy on Employer Justified Retirement Age should be followed. </w:t>
      </w:r>
      <w:r w:rsidRPr="005763C1">
        <w:rPr>
          <w:rFonts w:asciiTheme="minorHAnsi" w:hAnsiTheme="minorHAnsi" w:cs="Calibri"/>
          <w:sz w:val="22"/>
          <w:szCs w:val="22"/>
        </w:rPr>
        <w:t>(</w:t>
      </w:r>
      <w:hyperlink r:id="rId10" w:history="1">
        <w:r w:rsidRPr="005763C1">
          <w:rPr>
            <w:rStyle w:val="Hyperlink"/>
            <w:rFonts w:asciiTheme="minorHAnsi" w:hAnsiTheme="minorHAnsi" w:cs="Calibri"/>
            <w:sz w:val="22"/>
            <w:szCs w:val="22"/>
          </w:rPr>
          <w:t>http://www.admin.cam.ac.uk/offices/hr/policy/retirement/statement.html</w:t>
        </w:r>
      </w:hyperlink>
      <w:r w:rsidRPr="005763C1">
        <w:rPr>
          <w:rFonts w:asciiTheme="minorHAnsi" w:hAnsiTheme="minorHAnsi" w:cs="Calibri"/>
          <w:sz w:val="22"/>
          <w:szCs w:val="22"/>
        </w:rPr>
        <w:t>)</w:t>
      </w:r>
      <w:r w:rsidRPr="005763C1">
        <w:rPr>
          <w:rFonts w:asciiTheme="minorHAnsi" w:hAnsiTheme="minorHAnsi" w:cs="Calibri"/>
          <w:sz w:val="22"/>
          <w:szCs w:val="22"/>
        </w:rPr>
        <w:br/>
      </w:r>
      <w:r w:rsidRPr="005763C1">
        <w:rPr>
          <w:rFonts w:asciiTheme="minorHAnsi" w:hAnsiTheme="minorHAnsi" w:cs="Calibri"/>
          <w:color w:val="404040" w:themeColor="text1" w:themeTint="BF"/>
          <w:sz w:val="22"/>
          <w:szCs w:val="22"/>
        </w:rPr>
        <w:t>Any college employee would require a sub contract or the sponsor contracts directly with the college.  Please contact your ROO Contract Manager.</w:t>
      </w:r>
    </w:p>
    <w:p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Please note any requirement for visas, work permits, and sponsor requirements for staff and students on the grant.  Possible requirement to have a Studentship Agreement or Visitor Agreement – please contact Research Operations Office</w:t>
      </w:r>
      <w:r w:rsidRPr="005763C1">
        <w:rPr>
          <w:rFonts w:asciiTheme="minorHAnsi" w:hAnsiTheme="minorHAnsi" w:cs="Calibri"/>
          <w:sz w:val="22"/>
          <w:szCs w:val="22"/>
        </w:rPr>
        <w:t xml:space="preserve"> </w:t>
      </w:r>
      <w:hyperlink r:id="rId11" w:history="1">
        <w:r w:rsidRPr="005763C1">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p>
    <w:p w:rsidR="005763C1" w:rsidRPr="005763C1" w:rsidRDefault="005763C1" w:rsidP="005763C1">
      <w:pPr>
        <w:pStyle w:val="Heading2"/>
        <w:numPr>
          <w:ilvl w:val="0"/>
          <w:numId w:val="3"/>
        </w:numPr>
      </w:pPr>
      <w:r w:rsidRPr="005763C1">
        <w:lastRenderedPageBreak/>
        <w:t>PI FTE</w:t>
      </w:r>
    </w:p>
    <w:p w:rsidR="005763C1" w:rsidRPr="005763C1" w:rsidRDefault="005763C1" w:rsidP="000627C9">
      <w:pPr>
        <w:ind w:left="360"/>
        <w:rPr>
          <w:rFonts w:asciiTheme="minorHAnsi" w:eastAsia="Calibri" w:hAnsiTheme="minorHAnsi" w:cs="Calibri"/>
          <w:color w:val="404040" w:themeColor="text1" w:themeTint="BF"/>
          <w:sz w:val="22"/>
          <w:szCs w:val="22"/>
        </w:rPr>
      </w:pPr>
      <w:r w:rsidRPr="005763C1">
        <w:rPr>
          <w:rFonts w:asciiTheme="minorHAnsi" w:eastAsia="Calibri" w:hAnsiTheme="minorHAnsi" w:cs="Calibri"/>
          <w:color w:val="404040" w:themeColor="text1" w:themeTint="BF"/>
          <w:sz w:val="22"/>
          <w:szCs w:val="22"/>
        </w:rPr>
        <w:t xml:space="preserve">If the percentage of PI time committed to this project will take the PI over 100% time commitment across their full portfolio of concurrent grants, the PI must not double claim salary contribution or indirect/estate/overhead costs.  </w:t>
      </w:r>
    </w:p>
    <w:p w:rsidR="005763C1" w:rsidRPr="005763C1" w:rsidRDefault="005763C1" w:rsidP="000627C9">
      <w:pPr>
        <w:ind w:left="360"/>
        <w:rPr>
          <w:rFonts w:asciiTheme="minorHAnsi" w:eastAsia="Calibri" w:hAnsiTheme="minorHAnsi" w:cs="Calibri"/>
          <w:color w:val="404040" w:themeColor="text1" w:themeTint="BF"/>
          <w:sz w:val="22"/>
          <w:szCs w:val="22"/>
        </w:rPr>
      </w:pPr>
      <w:r w:rsidRPr="005763C1">
        <w:rPr>
          <w:rFonts w:asciiTheme="minorHAnsi" w:eastAsia="Calibri" w:hAnsiTheme="minorHAnsi" w:cs="Calibri"/>
          <w:b/>
          <w:color w:val="404040" w:themeColor="text1" w:themeTint="BF"/>
          <w:sz w:val="22"/>
          <w:szCs w:val="22"/>
        </w:rPr>
        <w:t>NOTE</w:t>
      </w:r>
      <w:r w:rsidRPr="005763C1">
        <w:rPr>
          <w:rFonts w:asciiTheme="minorHAnsi" w:eastAsia="Calibri" w:hAnsiTheme="minorHAnsi" w:cs="Calibri"/>
          <w:color w:val="404040" w:themeColor="text1" w:themeTint="BF"/>
          <w:sz w:val="22"/>
          <w:szCs w:val="22"/>
        </w:rPr>
        <w:t xml:space="preserve"> this will affect full cost recovery and ability to meet replacement teaching costs from overheads.  </w:t>
      </w:r>
    </w:p>
    <w:p w:rsidR="005763C1" w:rsidRPr="005763C1" w:rsidRDefault="005763C1" w:rsidP="005763C1">
      <w:pPr>
        <w:pStyle w:val="Heading2"/>
        <w:numPr>
          <w:ilvl w:val="0"/>
          <w:numId w:val="3"/>
        </w:numPr>
      </w:pPr>
      <w:r w:rsidRPr="005763C1">
        <w:t>Teaching Buyout</w:t>
      </w:r>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If the amount of time the PI or Co-I is dedicating to the project will prevent them from undertaking their current teaching duties, the Head of Department MUST be made aware and approve the application.  </w:t>
      </w:r>
    </w:p>
    <w:p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If teaching buy-out is required from the Department's share of the overhead, the value of which, after all direct costs have been met, should be made known to the HoD at the time to inform any decisions about replacement teaching.</w:t>
      </w:r>
    </w:p>
    <w:p w:rsidR="005B74CE" w:rsidRDefault="005B74CE" w:rsidP="000627C9">
      <w:pPr>
        <w:ind w:left="360"/>
        <w:rPr>
          <w:rFonts w:asciiTheme="minorHAnsi" w:hAnsiTheme="minorHAnsi" w:cs="Calibri"/>
          <w:color w:val="404040" w:themeColor="text1" w:themeTint="BF"/>
          <w:sz w:val="22"/>
          <w:szCs w:val="22"/>
        </w:rPr>
      </w:pPr>
    </w:p>
    <w:p w:rsidR="005B74CE" w:rsidRDefault="005B74CE" w:rsidP="005B74CE">
      <w:pPr>
        <w:pStyle w:val="Heading2"/>
        <w:numPr>
          <w:ilvl w:val="0"/>
          <w:numId w:val="3"/>
        </w:numPr>
      </w:pPr>
      <w:r w:rsidRPr="005B74CE">
        <w:t>Staff and Students</w:t>
      </w:r>
    </w:p>
    <w:p w:rsidR="005B74CE" w:rsidRPr="005B74CE" w:rsidRDefault="005B74CE" w:rsidP="005B74CE">
      <w:pPr>
        <w:ind w:left="360"/>
        <w:rPr>
          <w:rFonts w:asciiTheme="minorHAnsi" w:hAnsiTheme="minorHAnsi" w:cs="Calibri"/>
          <w:color w:val="404040" w:themeColor="text1" w:themeTint="BF"/>
          <w:sz w:val="22"/>
          <w:szCs w:val="22"/>
        </w:rPr>
      </w:pPr>
      <w:r w:rsidRPr="005B74CE">
        <w:rPr>
          <w:rFonts w:asciiTheme="minorHAnsi" w:hAnsiTheme="minorHAnsi" w:cs="Calibri"/>
          <w:color w:val="404040" w:themeColor="text1" w:themeTint="BF"/>
          <w:sz w:val="22"/>
          <w:szCs w:val="22"/>
        </w:rPr>
        <w:t>Staff and Students who work abroad for more than 6 months cumulatively in a single year. More information can be found here as reference for the DAs/</w:t>
      </w:r>
      <w:proofErr w:type="spellStart"/>
      <w:r w:rsidRPr="005B74CE">
        <w:rPr>
          <w:rFonts w:asciiTheme="minorHAnsi" w:hAnsiTheme="minorHAnsi" w:cs="Calibri"/>
          <w:color w:val="404040" w:themeColor="text1" w:themeTint="BF"/>
          <w:sz w:val="22"/>
          <w:szCs w:val="22"/>
        </w:rPr>
        <w:t>RGAs</w:t>
      </w:r>
      <w:proofErr w:type="spellEnd"/>
      <w:r w:rsidRPr="005B74CE">
        <w:rPr>
          <w:rFonts w:asciiTheme="minorHAnsi" w:hAnsiTheme="minorHAnsi" w:cs="Calibri"/>
          <w:color w:val="404040" w:themeColor="text1" w:themeTint="BF"/>
          <w:sz w:val="22"/>
          <w:szCs w:val="22"/>
        </w:rPr>
        <w:t xml:space="preserve"> to check for their grant applications: </w:t>
      </w:r>
      <w:hyperlink r:id="rId12" w:history="1">
        <w:r w:rsidRPr="005B74CE">
          <w:rPr>
            <w:rFonts w:asciiTheme="minorHAnsi" w:hAnsiTheme="minorHAnsi" w:cs="Calibri"/>
            <w:color w:val="0033CC"/>
            <w:sz w:val="22"/>
            <w:szCs w:val="22"/>
            <w:u w:val="single"/>
          </w:rPr>
          <w:t>https://www.hr.admin.cam.ac.uk/policies-procedures/overseas-working</w:t>
        </w:r>
      </w:hyperlink>
      <w:r w:rsidRPr="005B74CE">
        <w:rPr>
          <w:rFonts w:asciiTheme="minorHAnsi" w:hAnsiTheme="minorHAnsi" w:cs="Calibri"/>
          <w:color w:val="404040" w:themeColor="text1" w:themeTint="BF"/>
          <w:sz w:val="22"/>
          <w:szCs w:val="22"/>
        </w:rPr>
        <w:t>. There is also a checklist.</w:t>
      </w:r>
    </w:p>
    <w:p w:rsidR="005763C1" w:rsidRPr="005763C1" w:rsidRDefault="005763C1" w:rsidP="005763C1">
      <w:pPr>
        <w:pStyle w:val="Heading2"/>
        <w:numPr>
          <w:ilvl w:val="0"/>
          <w:numId w:val="3"/>
        </w:numPr>
        <w:rPr>
          <w:rFonts w:cs="Calibri"/>
        </w:rPr>
      </w:pPr>
      <w:r w:rsidRPr="005763C1">
        <w:lastRenderedPageBreak/>
        <w:t>Space</w:t>
      </w:r>
      <w:r w:rsidRPr="005763C1">
        <w:rPr>
          <w:rFonts w:cs="Calibri"/>
        </w:rPr>
        <w:tab/>
      </w:r>
      <w:r w:rsidRPr="005763C1">
        <w:rPr>
          <w:rFonts w:cs="Calibri"/>
        </w:rPr>
        <w:tab/>
      </w:r>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Self-explanatory, and Department-specific but must be identified and raised with the Head of Department at application, if not necessarily resolved.</w:t>
      </w:r>
    </w:p>
    <w:p w:rsidR="005763C1" w:rsidRPr="005763C1" w:rsidRDefault="005763C1" w:rsidP="005763C1">
      <w:pPr>
        <w:pStyle w:val="Heading2"/>
        <w:numPr>
          <w:ilvl w:val="0"/>
          <w:numId w:val="3"/>
        </w:numPr>
      </w:pPr>
      <w:r w:rsidRPr="005763C1">
        <w:t>Buildings</w:t>
      </w:r>
      <w:r w:rsidRPr="005763C1">
        <w:rPr>
          <w:b/>
        </w:rPr>
        <w:t xml:space="preserve"> – </w:t>
      </w:r>
      <w:r w:rsidRPr="005763C1">
        <w:t>as in (5) above</w:t>
      </w:r>
    </w:p>
    <w:p w:rsidR="005763C1" w:rsidRPr="005763C1" w:rsidRDefault="005763C1" w:rsidP="005763C1">
      <w:pPr>
        <w:pStyle w:val="Heading2"/>
        <w:numPr>
          <w:ilvl w:val="0"/>
          <w:numId w:val="3"/>
        </w:numPr>
        <w:rPr>
          <w:rFonts w:cs="Calibri"/>
        </w:rPr>
      </w:pPr>
      <w:r w:rsidRPr="005763C1">
        <w:t>Other staff</w:t>
      </w:r>
      <w:r w:rsidRPr="005763C1">
        <w:rPr>
          <w:rFonts w:cs="Calibri"/>
        </w:rPr>
        <w:t xml:space="preserve"> </w:t>
      </w:r>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If not eligible on grant but necessary for project, how will this be funded?  Project management costs (where appropriate), especially for large, translational awards with complex reporting and governance requirements may be eligible - include where possible and justifiable.</w:t>
      </w:r>
    </w:p>
    <w:p w:rsidR="005763C1" w:rsidRPr="005763C1" w:rsidRDefault="005763C1" w:rsidP="005763C1">
      <w:pPr>
        <w:pStyle w:val="Heading2"/>
        <w:numPr>
          <w:ilvl w:val="0"/>
          <w:numId w:val="3"/>
        </w:numPr>
        <w:rPr>
          <w:rFonts w:cs="Calibri"/>
        </w:rPr>
      </w:pPr>
      <w:r w:rsidRPr="005763C1">
        <w:t>Cost Recovery</w:t>
      </w:r>
    </w:p>
    <w:p w:rsid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 xml:space="preserve">Check the Price / Summary screen in X5 against the University’s Income Allocation Policy to check the appropriate level of cost recovery is being achieved: </w:t>
      </w:r>
      <w:r>
        <w:rPr>
          <w:rFonts w:asciiTheme="minorHAnsi" w:hAnsiTheme="minorHAnsi"/>
          <w:sz w:val="22"/>
          <w:szCs w:val="22"/>
        </w:rPr>
        <w:t xml:space="preserve"> </w:t>
      </w:r>
      <w:hyperlink r:id="rId13" w:history="1">
        <w:r w:rsidRPr="00290ACA">
          <w:rPr>
            <w:rStyle w:val="Hyperlink"/>
            <w:rFonts w:asciiTheme="minorHAnsi" w:hAnsiTheme="minorHAnsi" w:cs="Calibri"/>
            <w:sz w:val="22"/>
            <w:szCs w:val="22"/>
          </w:rPr>
          <w:t>http://www.admin.cam.ac.uk/offices/research/Research/Income_Allocation.aspx</w:t>
        </w:r>
      </w:hyperlink>
      <w:r w:rsidRPr="005763C1">
        <w:rPr>
          <w:rFonts w:asciiTheme="minorHAnsi" w:hAnsiTheme="minorHAnsi" w:cs="Calibri"/>
          <w:sz w:val="22"/>
          <w:szCs w:val="22"/>
        </w:rPr>
        <w:t xml:space="preserve">   </w:t>
      </w:r>
    </w:p>
    <w:p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Note that for sponsors paying on </w:t>
      </w:r>
      <w:proofErr w:type="gramStart"/>
      <w:r w:rsidRPr="005763C1">
        <w:rPr>
          <w:rFonts w:asciiTheme="minorHAnsi" w:hAnsiTheme="minorHAnsi" w:cs="Calibri"/>
          <w:color w:val="404040" w:themeColor="text1" w:themeTint="BF"/>
          <w:sz w:val="22"/>
          <w:szCs w:val="22"/>
        </w:rPr>
        <w:t>an</w:t>
      </w:r>
      <w:proofErr w:type="gramEnd"/>
      <w:r w:rsidRPr="005763C1">
        <w:rPr>
          <w:rFonts w:asciiTheme="minorHAnsi" w:hAnsiTheme="minorHAnsi" w:cs="Calibri"/>
          <w:color w:val="404040" w:themeColor="text1" w:themeTint="BF"/>
          <w:sz w:val="22"/>
          <w:szCs w:val="22"/>
        </w:rPr>
        <w:t xml:space="preserve"> fEC basis but funding less than 100% (e.g. Research Councils funding at 80%) the awarded value could be less than the total direct costs.  This is most likely where the Researcher FTE is low and other direct costs high.  </w:t>
      </w:r>
    </w:p>
    <w:p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ALL direct costs must be met from the award value, or discussed in advance with the HoD to identify how there shortfall will be funded.  </w:t>
      </w:r>
    </w:p>
    <w:p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lastRenderedPageBreak/>
        <w:t xml:space="preserve">Note that for some Research Council schemes overseas collaborators can be justified as exceptional costs and may be funded at 100%; if not there may be a shortfall if only 80% of costs are awarded.  It is highly advisable that where non-direct costs are eligible to the sponsor that cost recovery is maximised.  Further guidance is available in the Industry Pricing Policy: </w:t>
      </w:r>
      <w:hyperlink r:id="rId14" w:history="1">
        <w:r w:rsidRPr="005763C1">
          <w:rPr>
            <w:rStyle w:val="Hyperlink"/>
            <w:rFonts w:asciiTheme="minorHAnsi" w:hAnsiTheme="minorHAnsi" w:cs="Calibri"/>
            <w:sz w:val="22"/>
            <w:szCs w:val="22"/>
          </w:rPr>
          <w:t>http://www.admin.cam.ac.uk/offices/research/Research/Industry_Pricing.aspx</w:t>
        </w:r>
      </w:hyperlink>
      <w:r w:rsidRPr="005763C1">
        <w:rPr>
          <w:rFonts w:asciiTheme="minorHAnsi" w:hAnsiTheme="minorHAnsi" w:cs="Calibri"/>
          <w:sz w:val="22"/>
          <w:szCs w:val="22"/>
        </w:rPr>
        <w:t xml:space="preserve"> </w:t>
      </w:r>
    </w:p>
    <w:p w:rsidR="005763C1" w:rsidRPr="005763C1" w:rsidRDefault="005763C1" w:rsidP="005763C1">
      <w:pPr>
        <w:pStyle w:val="Heading2"/>
        <w:numPr>
          <w:ilvl w:val="0"/>
          <w:numId w:val="3"/>
        </w:numPr>
      </w:pPr>
      <w:proofErr w:type="gramStart"/>
      <w:r w:rsidRPr="005763C1">
        <w:t>VAT  -</w:t>
      </w:r>
      <w:proofErr w:type="gramEnd"/>
      <w:r w:rsidRPr="005763C1">
        <w:t xml:space="preserve"> See guidance </w:t>
      </w:r>
      <w:hyperlink r:id="rId15" w:history="1">
        <w:r w:rsidRPr="005763C1">
          <w:rPr>
            <w:rStyle w:val="Hyperlink"/>
            <w:rFonts w:asciiTheme="minorHAnsi" w:hAnsiTheme="minorHAnsi" w:cs="Calibri"/>
            <w:sz w:val="22"/>
            <w:szCs w:val="22"/>
          </w:rPr>
          <w:t>http://www.admin.cam.ac.uk/cam-only/offices/finance/procedures/vat</w:t>
        </w:r>
      </w:hyperlink>
      <w:r w:rsidRPr="005763C1">
        <w:t xml:space="preserve"> </w:t>
      </w:r>
      <w:r w:rsidRPr="005763C1">
        <w:tab/>
      </w:r>
    </w:p>
    <w:p w:rsidR="005763C1" w:rsidRPr="005763C1" w:rsidRDefault="005763C1" w:rsidP="005763C1">
      <w:pPr>
        <w:pStyle w:val="Heading2"/>
        <w:numPr>
          <w:ilvl w:val="0"/>
          <w:numId w:val="3"/>
        </w:numPr>
        <w:rPr>
          <w:rFonts w:cs="Calibri"/>
        </w:rPr>
      </w:pPr>
      <w:r w:rsidRPr="005763C1">
        <w:t>Third Parties</w:t>
      </w:r>
    </w:p>
    <w:p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Issues linked to VAT and Contracts; naming a sub-awardee at application stage and on the award avoids the requirement to charge VAT.  Please ensure sub-awardees are named on the application, and if appropriate that VAT is added to the costing.  For sub-contractors who are suppliers, seek advice from Procurement Services as appropriate. </w:t>
      </w:r>
      <w:hyperlink r:id="rId16" w:history="1">
        <w:r w:rsidR="00EE6EC3" w:rsidRPr="008D33FF">
          <w:rPr>
            <w:rStyle w:val="Hyperlink"/>
            <w:rFonts w:asciiTheme="minorHAnsi" w:hAnsiTheme="minorHAnsi" w:cs="Calibri"/>
            <w:sz w:val="22"/>
            <w:szCs w:val="22"/>
          </w:rPr>
          <w:t>https://www.research-operations.admin.cam.ac.uk/managing-research-projects/due-diligence-new-research-relationships</w:t>
        </w:r>
      </w:hyperlink>
      <w:r w:rsidR="00EE6EC3">
        <w:rPr>
          <w:rFonts w:asciiTheme="minorHAnsi" w:hAnsiTheme="minorHAnsi" w:cs="Calibri"/>
          <w:color w:val="404040" w:themeColor="text1" w:themeTint="BF"/>
          <w:sz w:val="22"/>
          <w:szCs w:val="22"/>
        </w:rPr>
        <w:t xml:space="preserve"> </w:t>
      </w:r>
    </w:p>
    <w:p w:rsidR="005763C1" w:rsidRPr="005763C1" w:rsidRDefault="005763C1" w:rsidP="005763C1">
      <w:pPr>
        <w:pStyle w:val="Heading2"/>
        <w:numPr>
          <w:ilvl w:val="0"/>
          <w:numId w:val="3"/>
        </w:numPr>
        <w:rPr>
          <w:rFonts w:cs="Calibri"/>
        </w:rPr>
      </w:pPr>
      <w:r w:rsidRPr="005763C1">
        <w:t>Ethics</w:t>
      </w:r>
    </w:p>
    <w:p w:rsidR="005763C1" w:rsidRPr="005763C1" w:rsidRDefault="005763C1" w:rsidP="000627C9">
      <w:pPr>
        <w:ind w:left="360"/>
        <w:rPr>
          <w:rFonts w:asciiTheme="minorHAnsi" w:hAnsiTheme="minorHAnsi" w:cs="Calibri"/>
          <w:b/>
          <w:sz w:val="22"/>
          <w:szCs w:val="22"/>
        </w:rPr>
      </w:pPr>
      <w:r w:rsidRPr="005763C1">
        <w:rPr>
          <w:rFonts w:asciiTheme="minorHAnsi" w:hAnsiTheme="minorHAnsi" w:cs="Calibri"/>
          <w:color w:val="404040" w:themeColor="text1" w:themeTint="BF"/>
          <w:sz w:val="22"/>
          <w:szCs w:val="22"/>
        </w:rPr>
        <w:t>Guidance being developed with emphasis on timelines.  Please contact Research Operations Office with any questions</w:t>
      </w:r>
      <w:r w:rsidRPr="005763C1">
        <w:rPr>
          <w:rFonts w:asciiTheme="minorHAnsi" w:hAnsiTheme="minorHAnsi" w:cs="Calibri"/>
          <w:sz w:val="22"/>
          <w:szCs w:val="22"/>
        </w:rPr>
        <w:t xml:space="preserve"> </w:t>
      </w:r>
      <w:hyperlink r:id="rId17" w:history="1">
        <w:r w:rsidRPr="005763C1">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p>
    <w:p w:rsidR="005763C1" w:rsidRPr="005763C1" w:rsidRDefault="005763C1" w:rsidP="005763C1">
      <w:pPr>
        <w:pStyle w:val="Heading2"/>
        <w:numPr>
          <w:ilvl w:val="0"/>
          <w:numId w:val="3"/>
        </w:numPr>
        <w:rPr>
          <w:rFonts w:cs="Calibri"/>
        </w:rPr>
      </w:pPr>
      <w:r w:rsidRPr="005763C1">
        <w:lastRenderedPageBreak/>
        <w:t>Terms &amp; Conditions</w:t>
      </w:r>
    </w:p>
    <w:p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Some terms &amp; conditions can include restrictions on the use of results in future research projects with different sponsors.  For Contract related advice please contact the Research Operations Office</w:t>
      </w:r>
      <w:r w:rsidRPr="005763C1">
        <w:rPr>
          <w:rFonts w:asciiTheme="minorHAnsi" w:hAnsiTheme="minorHAnsi" w:cs="Calibri"/>
          <w:sz w:val="22"/>
          <w:szCs w:val="22"/>
        </w:rPr>
        <w:t xml:space="preserve"> </w:t>
      </w:r>
      <w:hyperlink r:id="rId18" w:history="1">
        <w:r w:rsidRPr="005763C1">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p>
    <w:p w:rsidR="005763C1" w:rsidRDefault="005763C1" w:rsidP="00A12CD8">
      <w:pPr>
        <w:pStyle w:val="Heading2"/>
        <w:numPr>
          <w:ilvl w:val="0"/>
          <w:numId w:val="3"/>
        </w:numPr>
        <w:rPr>
          <w:rFonts w:cs="Calibri"/>
        </w:rPr>
      </w:pPr>
      <w:r w:rsidRPr="00A12CD8">
        <w:t>Equipment sharing web site</w:t>
      </w:r>
      <w:r w:rsidRPr="005763C1">
        <w:rPr>
          <w:rFonts w:cs="Calibri"/>
        </w:rPr>
        <w:t xml:space="preserve">: </w:t>
      </w:r>
      <w:hyperlink r:id="rId19" w:history="1">
        <w:r w:rsidRPr="005763C1">
          <w:rPr>
            <w:rStyle w:val="Hyperlink"/>
            <w:rFonts w:asciiTheme="minorHAnsi" w:hAnsiTheme="minorHAnsi" w:cs="Calibri"/>
            <w:sz w:val="22"/>
            <w:szCs w:val="22"/>
          </w:rPr>
          <w:t>http://www.equipment.admin.cam.ac.uk/</w:t>
        </w:r>
      </w:hyperlink>
      <w:r w:rsidRPr="005763C1">
        <w:rPr>
          <w:rFonts w:cs="Calibri"/>
        </w:rPr>
        <w:t xml:space="preserve"> </w:t>
      </w:r>
    </w:p>
    <w:p w:rsidR="005431ED" w:rsidRPr="000627C9" w:rsidRDefault="005431ED" w:rsidP="000627C9">
      <w:pPr>
        <w:pStyle w:val="Heading2"/>
        <w:numPr>
          <w:ilvl w:val="0"/>
          <w:numId w:val="3"/>
        </w:numPr>
        <w:rPr>
          <w:rFonts w:cs="Calibri"/>
        </w:rPr>
      </w:pPr>
      <w:r w:rsidRPr="005763C1">
        <w:rPr>
          <w:rStyle w:val="Heading2Char"/>
        </w:rPr>
        <w:t>Cross institutional collaborations</w:t>
      </w:r>
      <w:r w:rsidR="000627C9">
        <w:rPr>
          <w:rStyle w:val="Heading2Char"/>
        </w:rPr>
        <w:t xml:space="preserve">: </w:t>
      </w:r>
      <w:r w:rsidR="000627C9">
        <w:rPr>
          <w:rFonts w:asciiTheme="minorHAnsi" w:hAnsiTheme="minorHAnsi" w:cs="Calibri"/>
          <w:color w:val="404040" w:themeColor="text1" w:themeTint="BF"/>
          <w:sz w:val="22"/>
          <w:szCs w:val="22"/>
        </w:rPr>
        <w:t>(and</w:t>
      </w:r>
      <w:r w:rsidRPr="000627C9">
        <w:rPr>
          <w:rFonts w:asciiTheme="minorHAnsi" w:hAnsiTheme="minorHAnsi" w:cs="Calibri"/>
          <w:color w:val="404040" w:themeColor="text1" w:themeTint="BF"/>
          <w:sz w:val="22"/>
          <w:szCs w:val="22"/>
        </w:rPr>
        <w:t xml:space="preserve"> other partners e.g. Industry): may require Contract Manager </w:t>
      </w:r>
      <w:proofErr w:type="gramStart"/>
      <w:r w:rsidRPr="000627C9">
        <w:rPr>
          <w:rFonts w:asciiTheme="minorHAnsi" w:hAnsiTheme="minorHAnsi" w:cs="Calibri"/>
          <w:color w:val="404040" w:themeColor="text1" w:themeTint="BF"/>
          <w:sz w:val="22"/>
          <w:szCs w:val="22"/>
        </w:rPr>
        <w:t>involvement</w:t>
      </w:r>
      <w:proofErr w:type="gramEnd"/>
      <w:r w:rsidRPr="000627C9">
        <w:rPr>
          <w:rFonts w:asciiTheme="minorHAnsi" w:hAnsiTheme="minorHAnsi" w:cs="Calibri"/>
          <w:color w:val="404040" w:themeColor="text1" w:themeTint="BF"/>
          <w:sz w:val="22"/>
          <w:szCs w:val="22"/>
        </w:rPr>
        <w:t xml:space="preserve">.  </w:t>
      </w:r>
    </w:p>
    <w:p w:rsidR="005763C1" w:rsidRPr="005763C1" w:rsidRDefault="005763C1" w:rsidP="005763C1">
      <w:pPr>
        <w:pStyle w:val="Heading2"/>
        <w:numPr>
          <w:ilvl w:val="0"/>
          <w:numId w:val="3"/>
        </w:numPr>
        <w:rPr>
          <w:rFonts w:cs="Calibri"/>
        </w:rPr>
      </w:pPr>
      <w:r w:rsidRPr="005763C1">
        <w:t>Tenders</w:t>
      </w:r>
      <w:r w:rsidRPr="005763C1">
        <w:rPr>
          <w:rFonts w:cs="Calibri"/>
          <w:b/>
        </w:rPr>
        <w:t xml:space="preserve"> </w:t>
      </w:r>
    </w:p>
    <w:p w:rsidR="00A12CD8"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Tenders can have unacceptable conditions attached, and should NOT be accepted by the PI/Department.  </w:t>
      </w:r>
    </w:p>
    <w:p w:rsidR="00A12CD8"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In many cases, submission of a tender includes a pre-acceptance of the contract terms and conditions and therefore requires sign off by a Contract Manager.  </w:t>
      </w:r>
    </w:p>
    <w:p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 xml:space="preserve">Please seek advice from </w:t>
      </w:r>
      <w:r w:rsidR="005431ED">
        <w:rPr>
          <w:rFonts w:asciiTheme="minorHAnsi" w:hAnsiTheme="minorHAnsi" w:cs="Calibri"/>
          <w:color w:val="404040" w:themeColor="text1" w:themeTint="BF"/>
          <w:sz w:val="22"/>
          <w:szCs w:val="22"/>
        </w:rPr>
        <w:t xml:space="preserve">ROO </w:t>
      </w:r>
      <w:hyperlink r:id="rId20" w:history="1">
        <w:r w:rsidR="00A12CD8" w:rsidRPr="00290ACA">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r w:rsidRPr="005763C1">
        <w:rPr>
          <w:rFonts w:asciiTheme="minorHAnsi" w:hAnsiTheme="minorHAnsi" w:cs="Calibri"/>
          <w:sz w:val="22"/>
          <w:szCs w:val="22"/>
        </w:rPr>
        <w:br/>
      </w:r>
      <w:r w:rsidRPr="005763C1">
        <w:rPr>
          <w:rFonts w:asciiTheme="minorHAnsi" w:hAnsiTheme="minorHAnsi" w:cs="Calibri"/>
          <w:color w:val="404040" w:themeColor="text1" w:themeTint="BF"/>
          <w:sz w:val="22"/>
          <w:szCs w:val="22"/>
        </w:rPr>
        <w:t>or Procurement Services</w:t>
      </w:r>
      <w:r w:rsidRPr="005763C1">
        <w:rPr>
          <w:rFonts w:asciiTheme="minorHAnsi" w:hAnsiTheme="minorHAnsi" w:cs="Calibri"/>
          <w:sz w:val="22"/>
          <w:szCs w:val="22"/>
        </w:rPr>
        <w:t xml:space="preserve"> </w:t>
      </w:r>
      <w:hyperlink r:id="rId21" w:history="1">
        <w:r w:rsidRPr="005763C1">
          <w:rPr>
            <w:rStyle w:val="Hyperlink"/>
            <w:rFonts w:asciiTheme="minorHAnsi" w:hAnsiTheme="minorHAnsi" w:cs="Calibri"/>
            <w:sz w:val="22"/>
            <w:szCs w:val="22"/>
          </w:rPr>
          <w:t>http://www.admin.cam.ac.uk/offices/purchasing/guides/</w:t>
        </w:r>
      </w:hyperlink>
      <w:r w:rsidRPr="005763C1">
        <w:rPr>
          <w:rFonts w:asciiTheme="minorHAnsi" w:hAnsiTheme="minorHAnsi" w:cs="Calibri"/>
          <w:sz w:val="22"/>
          <w:szCs w:val="22"/>
        </w:rPr>
        <w:t xml:space="preserve"> </w:t>
      </w:r>
      <w:r w:rsidRPr="005763C1">
        <w:rPr>
          <w:rFonts w:asciiTheme="minorHAnsi" w:hAnsiTheme="minorHAnsi" w:cs="Calibri"/>
          <w:color w:val="404040" w:themeColor="text1" w:themeTint="BF"/>
          <w:sz w:val="22"/>
          <w:szCs w:val="22"/>
        </w:rPr>
        <w:t>as applicable.</w:t>
      </w:r>
    </w:p>
    <w:p w:rsidR="005763C1" w:rsidRDefault="005763C1" w:rsidP="000627C9">
      <w:pPr>
        <w:ind w:left="900" w:hanging="540"/>
        <w:jc w:val="right"/>
      </w:pPr>
    </w:p>
    <w:sectPr w:rsidR="005763C1" w:rsidSect="00A210B2">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9B" w:rsidRDefault="00753D9B" w:rsidP="00A210B2">
      <w:r>
        <w:separator/>
      </w:r>
    </w:p>
  </w:endnote>
  <w:endnote w:type="continuationSeparator" w:id="0">
    <w:p w:rsidR="00753D9B" w:rsidRDefault="00753D9B" w:rsidP="00A2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361956339"/>
      <w:docPartObj>
        <w:docPartGallery w:val="Page Numbers (Bottom of Page)"/>
        <w:docPartUnique/>
      </w:docPartObj>
    </w:sdtPr>
    <w:sdtEndPr>
      <w:rPr>
        <w:color w:val="7F7F7F" w:themeColor="background1" w:themeShade="7F"/>
        <w:spacing w:val="60"/>
      </w:rPr>
    </w:sdtEndPr>
    <w:sdtContent>
      <w:p w:rsidR="00A210B2" w:rsidRPr="00A210B2" w:rsidRDefault="00A210B2" w:rsidP="00F86E37">
        <w:pPr>
          <w:pStyle w:val="Footer"/>
          <w:pBdr>
            <w:top w:val="single" w:sz="4" w:space="1" w:color="D9D9D9" w:themeColor="background1" w:themeShade="D9"/>
          </w:pBdr>
          <w:tabs>
            <w:tab w:val="clear" w:pos="4513"/>
            <w:tab w:val="clear" w:pos="9026"/>
            <w:tab w:val="left" w:pos="1710"/>
            <w:tab w:val="right" w:pos="9720"/>
          </w:tabs>
          <w:rPr>
            <w:rFonts w:asciiTheme="minorHAnsi" w:hAnsiTheme="minorHAnsi"/>
            <w:sz w:val="22"/>
          </w:rPr>
        </w:pPr>
        <w:r w:rsidRPr="002B01AD">
          <w:rPr>
            <w:rFonts w:asciiTheme="minorHAnsi" w:hAnsiTheme="minorHAnsi" w:cstheme="minorHAnsi"/>
            <w:noProof/>
            <w:sz w:val="18"/>
            <w:szCs w:val="18"/>
          </w:rPr>
          <w:drawing>
            <wp:anchor distT="0" distB="0" distL="114300" distR="114300" simplePos="0" relativeHeight="251658240" behindDoc="0" locked="0" layoutInCell="1" allowOverlap="1" wp14:anchorId="4CBEB094" wp14:editId="4A88EC24">
              <wp:simplePos x="0" y="0"/>
              <wp:positionH relativeFrom="column">
                <wp:posOffset>-19050</wp:posOffset>
              </wp:positionH>
              <wp:positionV relativeFrom="paragraph">
                <wp:posOffset>38100</wp:posOffset>
              </wp:positionV>
              <wp:extent cx="1033145" cy="310515"/>
              <wp:effectExtent l="0" t="0" r="0" b="0"/>
              <wp:wrapNone/>
              <wp:docPr id="1026" name="Picture 1" descr="Description: Research Operations Office"/>
              <wp:cNvGraphicFramePr/>
              <a:graphic xmlns:a="http://schemas.openxmlformats.org/drawingml/2006/main">
                <a:graphicData uri="http://schemas.openxmlformats.org/drawingml/2006/picture">
                  <pic:pic xmlns:pic="http://schemas.openxmlformats.org/drawingml/2006/picture">
                    <pic:nvPicPr>
                      <pic:cNvPr id="1026" name="Picture 1" descr="Description: Research Operations Offi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10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86E37">
          <w:rPr>
            <w:rFonts w:asciiTheme="minorHAnsi" w:hAnsiTheme="minorHAnsi"/>
            <w:sz w:val="22"/>
          </w:rPr>
          <w:tab/>
        </w:r>
        <w:r w:rsidR="00F86E37" w:rsidRPr="00F86E37">
          <w:rPr>
            <w:rFonts w:asciiTheme="minorHAnsi" w:hAnsiTheme="minorHAnsi"/>
            <w:sz w:val="16"/>
          </w:rPr>
          <w:t>(Version 251017)</w:t>
        </w:r>
        <w:r w:rsidR="00F86E37">
          <w:rPr>
            <w:rFonts w:asciiTheme="minorHAnsi" w:hAnsiTheme="minorHAnsi"/>
            <w:sz w:val="22"/>
          </w:rPr>
          <w:tab/>
        </w:r>
        <w:r w:rsidRPr="00A210B2">
          <w:rPr>
            <w:rFonts w:asciiTheme="minorHAnsi" w:hAnsiTheme="minorHAnsi"/>
            <w:sz w:val="22"/>
          </w:rPr>
          <w:fldChar w:fldCharType="begin"/>
        </w:r>
        <w:r w:rsidRPr="00A210B2">
          <w:rPr>
            <w:rFonts w:asciiTheme="minorHAnsi" w:hAnsiTheme="minorHAnsi"/>
            <w:sz w:val="22"/>
          </w:rPr>
          <w:instrText xml:space="preserve"> PAGE   \* MERGEFORMAT </w:instrText>
        </w:r>
        <w:r w:rsidRPr="00A210B2">
          <w:rPr>
            <w:rFonts w:asciiTheme="minorHAnsi" w:hAnsiTheme="minorHAnsi"/>
            <w:sz w:val="22"/>
          </w:rPr>
          <w:fldChar w:fldCharType="separate"/>
        </w:r>
        <w:r w:rsidR="00F86E37">
          <w:rPr>
            <w:rFonts w:asciiTheme="minorHAnsi" w:hAnsiTheme="minorHAnsi"/>
            <w:noProof/>
            <w:sz w:val="22"/>
          </w:rPr>
          <w:t>4</w:t>
        </w:r>
        <w:r w:rsidRPr="00A210B2">
          <w:rPr>
            <w:rFonts w:asciiTheme="minorHAnsi" w:hAnsiTheme="minorHAnsi"/>
            <w:noProof/>
            <w:sz w:val="22"/>
          </w:rPr>
          <w:fldChar w:fldCharType="end"/>
        </w:r>
        <w:r w:rsidRPr="00A210B2">
          <w:rPr>
            <w:rFonts w:asciiTheme="minorHAnsi" w:hAnsiTheme="minorHAnsi"/>
            <w:sz w:val="22"/>
          </w:rPr>
          <w:t xml:space="preserve"> | </w:t>
        </w:r>
        <w:r w:rsidRPr="00A210B2">
          <w:rPr>
            <w:rFonts w:asciiTheme="minorHAnsi" w:hAnsiTheme="minorHAnsi"/>
            <w:color w:val="7F7F7F" w:themeColor="background1" w:themeShade="7F"/>
            <w:spacing w:val="60"/>
            <w:sz w:val="22"/>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9B" w:rsidRDefault="00753D9B" w:rsidP="00A210B2">
      <w:r>
        <w:separator/>
      </w:r>
    </w:p>
  </w:footnote>
  <w:footnote w:type="continuationSeparator" w:id="0">
    <w:p w:rsidR="00753D9B" w:rsidRDefault="00753D9B" w:rsidP="00A2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B2" w:rsidRPr="005763C1" w:rsidRDefault="005763C1" w:rsidP="005763C1">
    <w:pPr>
      <w:spacing w:before="0" w:after="320"/>
      <w:rPr>
        <w:rFonts w:asciiTheme="majorHAnsi" w:hAnsiTheme="majorHAnsi" w:cs="Calibri"/>
        <w:bCs/>
        <w:color w:val="595959" w:themeColor="text1" w:themeTint="A6"/>
        <w:sz w:val="24"/>
        <w:szCs w:val="24"/>
      </w:rPr>
    </w:pPr>
    <w:r w:rsidRPr="005763C1">
      <w:rPr>
        <w:rFonts w:asciiTheme="majorHAnsi" w:hAnsiTheme="majorHAnsi" w:cs="Calibri"/>
        <w:bCs/>
        <w:color w:val="595959" w:themeColor="text1" w:themeTint="A6"/>
        <w:sz w:val="24"/>
        <w:szCs w:val="24"/>
      </w:rPr>
      <w:t>RISK ASSESSMENT GUIDANCE FOR ASSESSMENT OF GRANT APPLICATIONS PRIOR TO DEPARTMENTAL SIGN-OFF</w:t>
    </w:r>
    <w:r w:rsidR="005B74CE">
      <w:rPr>
        <w:rFonts w:asciiTheme="majorHAnsi" w:hAnsiTheme="majorHAnsi" w:cs="Calibri"/>
        <w:bCs/>
        <w:color w:val="595959" w:themeColor="text1" w:themeTint="A6"/>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EAC"/>
    <w:multiLevelType w:val="hybridMultilevel"/>
    <w:tmpl w:val="D2DE0DC6"/>
    <w:lvl w:ilvl="0" w:tplc="99609540">
      <w:start w:val="1"/>
      <w:numFmt w:val="decimal"/>
      <w:lvlText w:val="%1."/>
      <w:lvlJc w:val="left"/>
      <w:pPr>
        <w:ind w:left="360" w:hanging="360"/>
      </w:pPr>
      <w:rPr>
        <w:rFonts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6E4DA1"/>
    <w:multiLevelType w:val="hybridMultilevel"/>
    <w:tmpl w:val="08AC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077CA"/>
    <w:multiLevelType w:val="hybridMultilevel"/>
    <w:tmpl w:val="A7C0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E90438"/>
    <w:multiLevelType w:val="hybridMultilevel"/>
    <w:tmpl w:val="0740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533E1"/>
    <w:multiLevelType w:val="hybridMultilevel"/>
    <w:tmpl w:val="0158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55E13"/>
    <w:multiLevelType w:val="hybridMultilevel"/>
    <w:tmpl w:val="BFF4643E"/>
    <w:lvl w:ilvl="0" w:tplc="1A048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B2"/>
    <w:rsid w:val="00015DAC"/>
    <w:rsid w:val="000627C9"/>
    <w:rsid w:val="001E2DB8"/>
    <w:rsid w:val="002B78F8"/>
    <w:rsid w:val="002D4339"/>
    <w:rsid w:val="00323572"/>
    <w:rsid w:val="00373D7F"/>
    <w:rsid w:val="005431ED"/>
    <w:rsid w:val="00564D65"/>
    <w:rsid w:val="005763C1"/>
    <w:rsid w:val="005B74CE"/>
    <w:rsid w:val="006A3B19"/>
    <w:rsid w:val="00753D9B"/>
    <w:rsid w:val="007D5359"/>
    <w:rsid w:val="00A12CD8"/>
    <w:rsid w:val="00A210B2"/>
    <w:rsid w:val="00A31DD9"/>
    <w:rsid w:val="00A41314"/>
    <w:rsid w:val="00B04B3F"/>
    <w:rsid w:val="00BA5E9A"/>
    <w:rsid w:val="00C157A4"/>
    <w:rsid w:val="00C375F7"/>
    <w:rsid w:val="00D62F09"/>
    <w:rsid w:val="00DD336F"/>
    <w:rsid w:val="00EE6EC3"/>
    <w:rsid w:val="00F1392E"/>
    <w:rsid w:val="00F3334B"/>
    <w:rsid w:val="00F47403"/>
    <w:rsid w:val="00F8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218AD4F-B19B-4064-9DC0-57AAAFA4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C1"/>
    <w:pPr>
      <w:spacing w:before="120" w:after="120"/>
    </w:pPr>
    <w:rPr>
      <w:rFonts w:ascii="Calibri" w:hAnsi="Calibri"/>
      <w:color w:val="595959"/>
    </w:rPr>
  </w:style>
  <w:style w:type="paragraph" w:styleId="Heading1">
    <w:name w:val="heading 1"/>
    <w:basedOn w:val="Normal"/>
    <w:next w:val="Normal"/>
    <w:link w:val="Heading1Char"/>
    <w:qFormat/>
    <w:rsid w:val="00576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763C1"/>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1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210B2"/>
    <w:pPr>
      <w:tabs>
        <w:tab w:val="center" w:pos="4513"/>
        <w:tab w:val="right" w:pos="9026"/>
      </w:tabs>
    </w:pPr>
  </w:style>
  <w:style w:type="character" w:customStyle="1" w:styleId="HeaderChar">
    <w:name w:val="Header Char"/>
    <w:basedOn w:val="DefaultParagraphFont"/>
    <w:link w:val="Header"/>
    <w:rsid w:val="00A210B2"/>
    <w:rPr>
      <w:sz w:val="24"/>
      <w:szCs w:val="24"/>
    </w:rPr>
  </w:style>
  <w:style w:type="paragraph" w:styleId="Footer">
    <w:name w:val="footer"/>
    <w:basedOn w:val="Normal"/>
    <w:link w:val="FooterChar"/>
    <w:uiPriority w:val="99"/>
    <w:unhideWhenUsed/>
    <w:rsid w:val="00A210B2"/>
    <w:pPr>
      <w:tabs>
        <w:tab w:val="center" w:pos="4513"/>
        <w:tab w:val="right" w:pos="9026"/>
      </w:tabs>
    </w:pPr>
  </w:style>
  <w:style w:type="character" w:customStyle="1" w:styleId="FooterChar">
    <w:name w:val="Footer Char"/>
    <w:basedOn w:val="DefaultParagraphFont"/>
    <w:link w:val="Footer"/>
    <w:uiPriority w:val="99"/>
    <w:rsid w:val="00A210B2"/>
    <w:rPr>
      <w:sz w:val="24"/>
      <w:szCs w:val="24"/>
    </w:rPr>
  </w:style>
  <w:style w:type="paragraph" w:styleId="ListParagraph">
    <w:name w:val="List Paragraph"/>
    <w:basedOn w:val="Normal"/>
    <w:uiPriority w:val="34"/>
    <w:qFormat/>
    <w:rsid w:val="00A210B2"/>
    <w:pPr>
      <w:ind w:left="720"/>
      <w:contextualSpacing/>
    </w:pPr>
  </w:style>
  <w:style w:type="table" w:styleId="ListTable2-Accent5">
    <w:name w:val="List Table 2 Accent 5"/>
    <w:basedOn w:val="TableNormal"/>
    <w:uiPriority w:val="47"/>
    <w:rsid w:val="00A210B2"/>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semiHidden/>
    <w:unhideWhenUsed/>
    <w:rsid w:val="00015DAC"/>
    <w:rPr>
      <w:rFonts w:ascii="Segoe UI" w:hAnsi="Segoe UI" w:cs="Segoe UI"/>
      <w:sz w:val="18"/>
      <w:szCs w:val="18"/>
    </w:rPr>
  </w:style>
  <w:style w:type="character" w:customStyle="1" w:styleId="BalloonTextChar">
    <w:name w:val="Balloon Text Char"/>
    <w:basedOn w:val="DefaultParagraphFont"/>
    <w:link w:val="BalloonText"/>
    <w:semiHidden/>
    <w:rsid w:val="00015DAC"/>
    <w:rPr>
      <w:rFonts w:ascii="Segoe UI" w:hAnsi="Segoe UI" w:cs="Segoe UI"/>
      <w:sz w:val="18"/>
      <w:szCs w:val="18"/>
    </w:rPr>
  </w:style>
  <w:style w:type="character" w:customStyle="1" w:styleId="Heading2Char">
    <w:name w:val="Heading 2 Char"/>
    <w:basedOn w:val="DefaultParagraphFont"/>
    <w:link w:val="Heading2"/>
    <w:rsid w:val="005763C1"/>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5763C1"/>
    <w:rPr>
      <w:color w:val="0000FF"/>
      <w:u w:val="single"/>
    </w:rPr>
  </w:style>
  <w:style w:type="table" w:styleId="GridTable6Colorful-Accent1">
    <w:name w:val="Grid Table 6 Colorful Accent 1"/>
    <w:basedOn w:val="TableNormal"/>
    <w:uiPriority w:val="51"/>
    <w:rsid w:val="005763C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5763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A12CD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operations.admin.cam.ac.uk/about-us/contact-us" TargetMode="External"/><Relationship Id="rId13" Type="http://schemas.openxmlformats.org/officeDocument/2006/relationships/hyperlink" Target="http://www.admin.cam.ac.uk/offices/research/Research/Income_Allocation.aspx" TargetMode="External"/><Relationship Id="rId18" Type="http://schemas.openxmlformats.org/officeDocument/2006/relationships/hyperlink" Target="http://www.admin.cam.ac.uk/offices/research/contact/default.aspx" TargetMode="External"/><Relationship Id="rId3" Type="http://schemas.openxmlformats.org/officeDocument/2006/relationships/settings" Target="settings.xml"/><Relationship Id="rId21" Type="http://schemas.openxmlformats.org/officeDocument/2006/relationships/hyperlink" Target="http://www.admin.cam.ac.uk/offices/purchasing/guides/" TargetMode="External"/><Relationship Id="rId7" Type="http://schemas.openxmlformats.org/officeDocument/2006/relationships/hyperlink" Target="https://www.hr.admin.cam.ac.uk/policies-procedures/overseas-working" TargetMode="External"/><Relationship Id="rId12" Type="http://schemas.openxmlformats.org/officeDocument/2006/relationships/hyperlink" Target="https://www.hr.admin.cam.ac.uk/policies-procedures/overseas-working" TargetMode="External"/><Relationship Id="rId17" Type="http://schemas.openxmlformats.org/officeDocument/2006/relationships/hyperlink" Target="http://www.admin.cam.ac.uk/offices/research/contact/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earch-operations.admin.cam.ac.uk/managing-research-projects/due-diligence-new-research-relationships" TargetMode="External"/><Relationship Id="rId20" Type="http://schemas.openxmlformats.org/officeDocument/2006/relationships/hyperlink" Target="http://www.admin.cam.ac.uk/offices/research/contact/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research/contact/default.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min.cam.ac.uk/cam-only/offices/finance/procedures/vat" TargetMode="External"/><Relationship Id="rId23" Type="http://schemas.openxmlformats.org/officeDocument/2006/relationships/footer" Target="footer1.xml"/><Relationship Id="rId10" Type="http://schemas.openxmlformats.org/officeDocument/2006/relationships/hyperlink" Target="http://www.admin.cam.ac.uk/offices/hr/policy/retirement/statement.html" TargetMode="External"/><Relationship Id="rId19" Type="http://schemas.openxmlformats.org/officeDocument/2006/relationships/hyperlink" Target="http://www.equipment.admin.cam.ac.uk/" TargetMode="External"/><Relationship Id="rId4" Type="http://schemas.openxmlformats.org/officeDocument/2006/relationships/webSettings" Target="webSettings.xml"/><Relationship Id="rId9" Type="http://schemas.openxmlformats.org/officeDocument/2006/relationships/hyperlink" Target="https://www.research-operations.admin.cam.ac.uk/costing-and-pricing-research-proposal/x5/requesting-new-funders-schemes" TargetMode="External"/><Relationship Id="rId14" Type="http://schemas.openxmlformats.org/officeDocument/2006/relationships/hyperlink" Target="http://www.admin.cam.ac.uk/offices/research/Research/Industry_Pricing.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69E9DE9B</Template>
  <TotalTime>3</TotalTime>
  <Pages>5</Pages>
  <Words>1374</Words>
  <Characters>9646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West-Lewis</dc:creator>
  <cp:keywords/>
  <dc:description/>
  <cp:lastModifiedBy>Debbie West-Lewis</cp:lastModifiedBy>
  <cp:revision>3</cp:revision>
  <cp:lastPrinted>2017-10-02T14:26:00Z</cp:lastPrinted>
  <dcterms:created xsi:type="dcterms:W3CDTF">2017-10-25T11:44:00Z</dcterms:created>
  <dcterms:modified xsi:type="dcterms:W3CDTF">2017-10-25T11:46:00Z</dcterms:modified>
</cp:coreProperties>
</file>