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2FD6" w14:textId="77777777" w:rsidR="00F623C9" w:rsidRDefault="00F623C9" w:rsidP="00F623C9">
      <w:pPr>
        <w:pStyle w:val="Footer"/>
        <w:ind w:left="-426" w:right="-448"/>
        <w:rPr>
          <w:b/>
          <w:i/>
        </w:rPr>
      </w:pPr>
    </w:p>
    <w:p w14:paraId="7E743256" w14:textId="77777777" w:rsidR="00F623C9" w:rsidRPr="0061546B" w:rsidRDefault="00F623C9" w:rsidP="00F623C9">
      <w:pPr>
        <w:tabs>
          <w:tab w:val="center" w:pos="4513"/>
          <w:tab w:val="right" w:pos="9026"/>
        </w:tabs>
        <w:spacing w:after="0" w:line="240" w:lineRule="auto"/>
        <w:jc w:val="both"/>
        <w:rPr>
          <w:rFonts w:ascii="Arial" w:hAnsi="Arial"/>
        </w:rPr>
      </w:pPr>
      <w:r>
        <w:rPr>
          <w:b/>
          <w:i/>
        </w:rPr>
        <w:t xml:space="preserve">THIS NOTE </w:t>
      </w:r>
      <w:r w:rsidRPr="0061546B">
        <w:rPr>
          <w:b/>
          <w:i/>
        </w:rPr>
        <w:t xml:space="preserve">IS FOR GENERAL INFORMATION ONLY. IT IS DIRECTED TO LEGAL ADVISERS IN UNIVERSITIES TO REVIEW AND FORM THEIR OWN VIEW ON COMPLIANCE.  IT IS NOT LEGAL ADVICE BY </w:t>
      </w:r>
      <w:r>
        <w:rPr>
          <w:b/>
          <w:i/>
        </w:rPr>
        <w:t>HEECA</w:t>
      </w:r>
      <w:r w:rsidRPr="0061546B">
        <w:rPr>
          <w:b/>
          <w:i/>
        </w:rPr>
        <w:t xml:space="preserve"> OR ANY MEMBER INSTITUTION.</w:t>
      </w:r>
      <w:r>
        <w:rPr>
          <w:b/>
          <w:i/>
        </w:rPr>
        <w:t xml:space="preserve"> </w:t>
      </w:r>
      <w:r w:rsidRPr="00BB6DE2">
        <w:rPr>
          <w:i/>
        </w:rPr>
        <w:t xml:space="preserve">In developing this </w:t>
      </w:r>
      <w:r>
        <w:rPr>
          <w:i/>
        </w:rPr>
        <w:t xml:space="preserve">note </w:t>
      </w:r>
      <w:r w:rsidRPr="00BB6DE2">
        <w:rPr>
          <w:i/>
        </w:rPr>
        <w:t>the EAR outreach material on the U.S. Department of Commerce Bureau of Industry and Security (BIS) website</w:t>
      </w:r>
      <w:r>
        <w:rPr>
          <w:i/>
        </w:rPr>
        <w:t xml:space="preserve"> was reviewed</w:t>
      </w:r>
      <w:r w:rsidRPr="00BB6DE2">
        <w:rPr>
          <w:i/>
        </w:rPr>
        <w:t xml:space="preserve">, and BIS </w:t>
      </w:r>
      <w:r>
        <w:rPr>
          <w:i/>
        </w:rPr>
        <w:t xml:space="preserve">was consulted </w:t>
      </w:r>
      <w:r w:rsidRPr="00BB6DE2">
        <w:rPr>
          <w:i/>
        </w:rPr>
        <w:t xml:space="preserve">on the EAR provisions referenced in this document.  </w:t>
      </w:r>
      <w:r>
        <w:rPr>
          <w:i/>
        </w:rPr>
        <w:t xml:space="preserve">The Note was also reviewed by George Grammas, Partner Squire Patton Boggs. </w:t>
      </w:r>
      <w:r w:rsidRPr="00BB6DE2">
        <w:rPr>
          <w:i/>
        </w:rPr>
        <w:t>Footnotes are provided to enable readers to consult the legislation and BIS website guidance.  If in doubt, consult BIS</w:t>
      </w:r>
      <w:r>
        <w:rPr>
          <w:i/>
        </w:rPr>
        <w:t>.</w:t>
      </w:r>
    </w:p>
    <w:p w14:paraId="75A088DE" w14:textId="4ABBF6D1" w:rsidR="00F623C9" w:rsidRDefault="00F623C9" w:rsidP="00F623C9">
      <w:pPr>
        <w:pBdr>
          <w:bottom w:val="single" w:sz="4" w:space="1" w:color="auto"/>
        </w:pBdr>
        <w:rPr>
          <w:b/>
          <w:i/>
        </w:rPr>
      </w:pPr>
    </w:p>
    <w:p w14:paraId="7984C4C0" w14:textId="64038209" w:rsidR="00D93928" w:rsidRPr="00F623C9" w:rsidRDefault="009C1F6C" w:rsidP="00F623C9">
      <w:pPr>
        <w:rPr>
          <w:b/>
          <w:bCs/>
        </w:rPr>
      </w:pPr>
      <w:r>
        <w:rPr>
          <w:b/>
          <w:bCs/>
        </w:rPr>
        <w:br w:type="textWrapping" w:clear="all"/>
      </w:r>
      <w:r w:rsidR="00D93928" w:rsidRPr="00D93928">
        <w:rPr>
          <w:b/>
          <w:bCs/>
        </w:rPr>
        <w:t xml:space="preserve">US EXPORT ADMINISTRATION REGULATIONS (EAR) </w:t>
      </w:r>
      <w:r w:rsidR="001E70C8">
        <w:rPr>
          <w:b/>
          <w:bCs/>
          <w:i/>
          <w:iCs/>
        </w:rPr>
        <w:t xml:space="preserve">- </w:t>
      </w:r>
      <w:r w:rsidR="00D93928" w:rsidRPr="00D93928">
        <w:rPr>
          <w:b/>
          <w:bCs/>
          <w:i/>
          <w:iCs/>
        </w:rPr>
        <w:t>Using US-derived Research Equipment in the UK</w:t>
      </w:r>
      <w:r w:rsidR="00D93928">
        <w:rPr>
          <w:b/>
          <w:bCs/>
          <w:i/>
          <w:iCs/>
        </w:rPr>
        <w:t xml:space="preserve"> </w:t>
      </w:r>
    </w:p>
    <w:p w14:paraId="757D04E4" w14:textId="77777777" w:rsidR="00D20031" w:rsidRPr="00D20031" w:rsidRDefault="00D93928" w:rsidP="00D20031">
      <w:pPr>
        <w:pStyle w:val="ListParagraph"/>
        <w:numPr>
          <w:ilvl w:val="0"/>
          <w:numId w:val="2"/>
        </w:numPr>
        <w:ind w:left="426" w:hanging="426"/>
      </w:pPr>
      <w:r w:rsidRPr="000E618E">
        <w:rPr>
          <w:b/>
          <w:bCs/>
        </w:rPr>
        <w:t>Re-export</w:t>
      </w:r>
      <w:r w:rsidR="005E1E54" w:rsidRPr="005E1E54">
        <w:rPr>
          <w:rStyle w:val="FootnoteReference"/>
          <w:bCs/>
        </w:rPr>
        <w:footnoteReference w:id="1"/>
      </w:r>
      <w:r w:rsidR="00EF4EE3">
        <w:rPr>
          <w:b/>
          <w:bCs/>
          <w:color w:val="FF0000"/>
        </w:rPr>
        <w:t xml:space="preserve"> </w:t>
      </w:r>
      <w:r w:rsidRPr="000E618E">
        <w:rPr>
          <w:b/>
          <w:bCs/>
        </w:rPr>
        <w:t xml:space="preserve">means </w:t>
      </w:r>
    </w:p>
    <w:p w14:paraId="58318481" w14:textId="187360CD" w:rsidR="00D20031" w:rsidRPr="00D20031" w:rsidRDefault="00D20031" w:rsidP="00D20031">
      <w:pPr>
        <w:pStyle w:val="ListParagraph"/>
        <w:numPr>
          <w:ilvl w:val="1"/>
          <w:numId w:val="2"/>
        </w:numPr>
        <w:ind w:left="709" w:hanging="283"/>
      </w:pPr>
      <w:r w:rsidRPr="00D20031">
        <w:t xml:space="preserve">An </w:t>
      </w:r>
      <w:r w:rsidRPr="000E618E">
        <w:rPr>
          <w:b/>
          <w:bCs/>
        </w:rPr>
        <w:t xml:space="preserve">actual shipment or </w:t>
      </w:r>
      <w:r w:rsidRPr="00D20031">
        <w:rPr>
          <w:b/>
        </w:rPr>
        <w:t>transmission</w:t>
      </w:r>
      <w:r w:rsidRPr="000E618E">
        <w:rPr>
          <w:b/>
          <w:bCs/>
        </w:rPr>
        <w:t xml:space="preserve"> of technology</w:t>
      </w:r>
      <w:r w:rsidRPr="00D20031">
        <w:t xml:space="preserve"> </w:t>
      </w:r>
      <w:r w:rsidR="008F00F9">
        <w:t>(or other</w:t>
      </w:r>
      <w:r w:rsidRPr="00D20031">
        <w:t xml:space="preserve"> item</w:t>
      </w:r>
      <w:r w:rsidR="008F00F9">
        <w:t>)</w:t>
      </w:r>
      <w:r w:rsidRPr="00D20031">
        <w:t xml:space="preserve"> subject to the EAR from one foreign </w:t>
      </w:r>
      <w:r>
        <w:t>(</w:t>
      </w:r>
      <w:proofErr w:type="spellStart"/>
      <w:proofErr w:type="gramStart"/>
      <w:r>
        <w:t>ie</w:t>
      </w:r>
      <w:proofErr w:type="spellEnd"/>
      <w:proofErr w:type="gramEnd"/>
      <w:r>
        <w:t xml:space="preserve"> importing) </w:t>
      </w:r>
      <w:r w:rsidRPr="00D20031">
        <w:t>cou</w:t>
      </w:r>
      <w:r>
        <w:t>ntry to another foreign country</w:t>
      </w:r>
      <w:r w:rsidRPr="00735109">
        <w:rPr>
          <w:rStyle w:val="FootnoteReference"/>
          <w:rFonts w:ascii="Calibri" w:hAnsi="Calibri" w:cs="Calibri"/>
          <w:lang w:val="en-US"/>
        </w:rPr>
        <w:footnoteReference w:id="2"/>
      </w:r>
      <w:r>
        <w:t>; or</w:t>
      </w:r>
    </w:p>
    <w:p w14:paraId="7EB5356E" w14:textId="77777777" w:rsidR="00FC34B2" w:rsidRPr="000E618E" w:rsidRDefault="00D93928" w:rsidP="00D20031">
      <w:pPr>
        <w:pStyle w:val="ListParagraph"/>
        <w:numPr>
          <w:ilvl w:val="1"/>
          <w:numId w:val="2"/>
        </w:numPr>
        <w:ind w:left="709" w:hanging="283"/>
      </w:pPr>
      <w:r w:rsidRPr="000E618E">
        <w:rPr>
          <w:b/>
          <w:bCs/>
          <w:u w:val="single"/>
        </w:rPr>
        <w:t>transfers</w:t>
      </w:r>
      <w:r w:rsidRPr="000E618E">
        <w:rPr>
          <w:b/>
          <w:bCs/>
        </w:rPr>
        <w:t xml:space="preserve"> within the importing </w:t>
      </w:r>
      <w:r w:rsidRPr="00A05FB2">
        <w:rPr>
          <w:bCs/>
        </w:rPr>
        <w:t>country</w:t>
      </w:r>
      <w:r w:rsidR="00D20031">
        <w:rPr>
          <w:bCs/>
        </w:rPr>
        <w:t xml:space="preserve">: </w:t>
      </w:r>
      <w:proofErr w:type="gramStart"/>
      <w:r w:rsidR="00D20031">
        <w:rPr>
          <w:bCs/>
        </w:rPr>
        <w:t xml:space="preserve"> </w:t>
      </w:r>
      <w:r w:rsidRPr="00A05FB2">
        <w:rPr>
          <w:bCs/>
        </w:rPr>
        <w:t xml:space="preserve"> </w:t>
      </w:r>
      <w:r w:rsidR="004328D7" w:rsidRPr="004328D7">
        <w:rPr>
          <w:bCs/>
        </w:rPr>
        <w:t xml:space="preserve"> </w:t>
      </w:r>
      <w:r w:rsidR="003D03BD" w:rsidRPr="004328D7">
        <w:rPr>
          <w:bCs/>
        </w:rPr>
        <w:t>“</w:t>
      </w:r>
      <w:proofErr w:type="gramEnd"/>
      <w:r w:rsidR="00D20031">
        <w:rPr>
          <w:bCs/>
        </w:rPr>
        <w:t>I</w:t>
      </w:r>
      <w:r w:rsidR="000E1829" w:rsidRPr="004328D7">
        <w:rPr>
          <w:bCs/>
        </w:rPr>
        <w:t>n country</w:t>
      </w:r>
      <w:r w:rsidR="003D03BD" w:rsidRPr="004328D7">
        <w:rPr>
          <w:bCs/>
        </w:rPr>
        <w:t>” which</w:t>
      </w:r>
      <w:r w:rsidR="000E1829" w:rsidRPr="004328D7">
        <w:rPr>
          <w:bCs/>
        </w:rPr>
        <w:t xml:space="preserve"> means a change in end use or end user</w:t>
      </w:r>
      <w:r w:rsidR="00D20031" w:rsidRPr="00D20031">
        <w:t xml:space="preserve"> </w:t>
      </w:r>
      <w:r w:rsidR="00D20031" w:rsidRPr="00D20031">
        <w:rPr>
          <w:bCs/>
        </w:rPr>
        <w:t xml:space="preserve">within the same foreign </w:t>
      </w:r>
      <w:r w:rsidR="00D20031">
        <w:rPr>
          <w:bCs/>
        </w:rPr>
        <w:t>(</w:t>
      </w:r>
      <w:proofErr w:type="spellStart"/>
      <w:r w:rsidR="00D20031">
        <w:rPr>
          <w:bCs/>
        </w:rPr>
        <w:t>ie</w:t>
      </w:r>
      <w:proofErr w:type="spellEnd"/>
      <w:r w:rsidR="00D20031">
        <w:rPr>
          <w:bCs/>
        </w:rPr>
        <w:t xml:space="preserve"> importing) </w:t>
      </w:r>
      <w:r w:rsidR="00D20031" w:rsidRPr="00D20031">
        <w:rPr>
          <w:bCs/>
        </w:rPr>
        <w:t>country</w:t>
      </w:r>
      <w:r w:rsidR="003D03BD" w:rsidRPr="004328D7">
        <w:rPr>
          <w:bCs/>
        </w:rPr>
        <w:t xml:space="preserve"> -</w:t>
      </w:r>
      <w:r w:rsidR="000E1829" w:rsidRPr="004328D7">
        <w:rPr>
          <w:bCs/>
        </w:rPr>
        <w:t xml:space="preserve"> physical transfer </w:t>
      </w:r>
      <w:r w:rsidR="004328D7" w:rsidRPr="004328D7">
        <w:rPr>
          <w:bCs/>
        </w:rPr>
        <w:t xml:space="preserve">is </w:t>
      </w:r>
      <w:r w:rsidR="000E1829" w:rsidRPr="004328D7">
        <w:rPr>
          <w:bCs/>
        </w:rPr>
        <w:t>not needed</w:t>
      </w:r>
      <w:r w:rsidR="000E1829" w:rsidRPr="004328D7">
        <w:rPr>
          <w:rStyle w:val="FootnoteReference"/>
          <w:bCs/>
        </w:rPr>
        <w:footnoteReference w:id="3"/>
      </w:r>
      <w:r w:rsidR="00804F30" w:rsidRPr="00735109">
        <w:rPr>
          <w:rFonts w:ascii="Calibri" w:hAnsi="Calibri" w:cs="Calibri"/>
          <w:lang w:val="en-US"/>
        </w:rPr>
        <w:t>.</w:t>
      </w:r>
      <w:r w:rsidRPr="000E618E">
        <w:rPr>
          <w:b/>
          <w:bCs/>
        </w:rPr>
        <w:t xml:space="preserve">  </w:t>
      </w:r>
    </w:p>
    <w:p w14:paraId="08CFC4BC" w14:textId="6F992507" w:rsidR="00FC34B2" w:rsidRPr="000E618E" w:rsidRDefault="00D93928" w:rsidP="00A05FB2">
      <w:pPr>
        <w:pStyle w:val="ListParagraph"/>
        <w:numPr>
          <w:ilvl w:val="0"/>
          <w:numId w:val="2"/>
        </w:numPr>
        <w:ind w:left="426" w:hanging="426"/>
      </w:pPr>
      <w:r w:rsidRPr="000E618E">
        <w:rPr>
          <w:b/>
          <w:bCs/>
        </w:rPr>
        <w:t>‘Deemed’ re-export</w:t>
      </w:r>
      <w:r w:rsidR="00A156BB" w:rsidRPr="00735109">
        <w:rPr>
          <w:rStyle w:val="FootnoteReference"/>
        </w:rPr>
        <w:footnoteReference w:id="4"/>
      </w:r>
      <w:r w:rsidRPr="000E618E">
        <w:rPr>
          <w:b/>
          <w:bCs/>
        </w:rPr>
        <w:t xml:space="preserve"> </w:t>
      </w:r>
      <w:r w:rsidRPr="000E618E">
        <w:t xml:space="preserve">refers to restrictions in respect of </w:t>
      </w:r>
      <w:r w:rsidRPr="000E618E">
        <w:rPr>
          <w:u w:val="single"/>
        </w:rPr>
        <w:t>people</w:t>
      </w:r>
      <w:r w:rsidRPr="000E618E">
        <w:t xml:space="preserve"> - non-US nationals</w:t>
      </w:r>
      <w:r w:rsidR="00325517">
        <w:t xml:space="preserve"> –</w:t>
      </w:r>
      <w:r w:rsidR="00A156BB">
        <w:t>release of technology</w:t>
      </w:r>
      <w:r w:rsidR="00325517">
        <w:t xml:space="preserve"> contrary to restrictions is deemed to be an export to that person’s home country even if it does </w:t>
      </w:r>
      <w:r w:rsidR="008F00F9">
        <w:t xml:space="preserve">not </w:t>
      </w:r>
      <w:r w:rsidR="00325517">
        <w:t xml:space="preserve">go there </w:t>
      </w:r>
      <w:r w:rsidR="00A156BB">
        <w:t xml:space="preserve">physically </w:t>
      </w:r>
      <w:r w:rsidR="00325517">
        <w:t>or there is no physical transfer to the person</w:t>
      </w:r>
      <w:r w:rsidR="008F00F9">
        <w:t xml:space="preserve"> and may require an authorization under the EAR</w:t>
      </w:r>
      <w:r w:rsidRPr="000E618E">
        <w:t xml:space="preserve">.  Where dual nationality, the most recent </w:t>
      </w:r>
      <w:r w:rsidR="00325517">
        <w:t xml:space="preserve">citizenship or permanent residence </w:t>
      </w:r>
      <w:r w:rsidRPr="000E618E">
        <w:t>governs</w:t>
      </w:r>
      <w:r w:rsidR="00943A78">
        <w:t xml:space="preserve"> for EAR</w:t>
      </w:r>
      <w:r w:rsidR="00CE0C82">
        <w:rPr>
          <w:rStyle w:val="FootnoteReference"/>
          <w:rFonts w:ascii="Calibri" w:hAnsi="Calibri" w:cs="Calibri"/>
          <w:lang w:val="en-US"/>
        </w:rPr>
        <w:footnoteReference w:id="5"/>
      </w:r>
      <w:r w:rsidRPr="000E618E">
        <w:t>.</w:t>
      </w:r>
      <w:r w:rsidR="00943A78">
        <w:t xml:space="preserve">  For ITAR any </w:t>
      </w:r>
      <w:r w:rsidR="00325517">
        <w:t xml:space="preserve">citizenship </w:t>
      </w:r>
      <w:r w:rsidR="00A156BB">
        <w:t>permanent residency</w:t>
      </w:r>
      <w:r w:rsidR="00A156BB" w:rsidRPr="00A156BB">
        <w:t xml:space="preserve"> </w:t>
      </w:r>
      <w:r w:rsidR="00325517">
        <w:t>at any time in their life</w:t>
      </w:r>
      <w:r w:rsidR="00A156BB">
        <w:t xml:space="preserve"> governs</w:t>
      </w:r>
      <w:r w:rsidR="00325517">
        <w:rPr>
          <w:rStyle w:val="FootnoteReference"/>
        </w:rPr>
        <w:footnoteReference w:id="6"/>
      </w:r>
      <w:r w:rsidR="00943A78">
        <w:t>.</w:t>
      </w:r>
      <w:r w:rsidR="005E2285">
        <w:t xml:space="preserve">  A transfer within the UK to a British national where the most recent citizenship or permanent residency of that person is the UK would not be a deemed reexport under the EAR.  Deemed reexports focuses on the release to third country nationals, such as a “release” to a French national in the UK.  </w:t>
      </w:r>
    </w:p>
    <w:p w14:paraId="0055F82E" w14:textId="0DE49467" w:rsidR="00DF3324" w:rsidRPr="00556E37" w:rsidRDefault="00D93928" w:rsidP="00556E37">
      <w:pPr>
        <w:pStyle w:val="ListParagraph"/>
        <w:numPr>
          <w:ilvl w:val="0"/>
          <w:numId w:val="2"/>
        </w:numPr>
        <w:ind w:left="360"/>
      </w:pPr>
      <w:r w:rsidRPr="00280F90">
        <w:rPr>
          <w:b/>
        </w:rPr>
        <w:t>Using equipment for academic research is not normally controlled.</w:t>
      </w:r>
      <w:r w:rsidR="006A28B4" w:rsidRPr="00280F90">
        <w:rPr>
          <w:rFonts w:ascii="Arial" w:hAnsi="Arial" w:cs="Arial"/>
          <w:b/>
          <w:color w:val="555555"/>
          <w:sz w:val="21"/>
          <w:szCs w:val="21"/>
          <w:shd w:val="clear" w:color="auto" w:fill="FFFFFF"/>
        </w:rPr>
        <w:t xml:space="preserve">  </w:t>
      </w:r>
      <w:r w:rsidR="006A28B4" w:rsidRPr="00280F90">
        <w:rPr>
          <w:b/>
        </w:rPr>
        <w:t>A licenc</w:t>
      </w:r>
      <w:r w:rsidR="00DF3324" w:rsidRPr="00280F90">
        <w:rPr>
          <w:b/>
        </w:rPr>
        <w:t xml:space="preserve">e will </w:t>
      </w:r>
      <w:r w:rsidR="007520FB" w:rsidRPr="00280F90">
        <w:rPr>
          <w:b/>
        </w:rPr>
        <w:t>be needed in 3 distinct</w:t>
      </w:r>
      <w:r w:rsidR="00DF3324" w:rsidRPr="00280F90">
        <w:rPr>
          <w:b/>
        </w:rPr>
        <w:t xml:space="preserve"> situations</w:t>
      </w:r>
      <w:r w:rsidR="00DF3324" w:rsidRPr="00556E37">
        <w:t>:</w:t>
      </w:r>
    </w:p>
    <w:p w14:paraId="7FEB856C" w14:textId="0F45A357" w:rsidR="00DF3324" w:rsidRDefault="00DF3324" w:rsidP="00556E37">
      <w:pPr>
        <w:pStyle w:val="ListParagraph"/>
        <w:numPr>
          <w:ilvl w:val="0"/>
          <w:numId w:val="9"/>
        </w:numPr>
      </w:pPr>
      <w:r>
        <w:t xml:space="preserve"> End use or end user (General Prohibitions</w:t>
      </w:r>
      <w:r w:rsidR="007520FB" w:rsidRPr="004328D7">
        <w:rPr>
          <w:rStyle w:val="FootnoteReference"/>
          <w:rFonts w:ascii="Calibri" w:hAnsi="Calibri" w:cs="Calibri"/>
          <w:sz w:val="28"/>
          <w:szCs w:val="28"/>
          <w:lang w:val="en-US"/>
        </w:rPr>
        <w:footnoteReference w:id="7"/>
      </w:r>
      <w:r>
        <w:t xml:space="preserve">) </w:t>
      </w:r>
      <w:proofErr w:type="gramStart"/>
      <w:r>
        <w:t>apply</w:t>
      </w:r>
      <w:proofErr w:type="gramEnd"/>
    </w:p>
    <w:p w14:paraId="7F73DEFD" w14:textId="7966936F" w:rsidR="00DF3324" w:rsidRDefault="00DF3324" w:rsidP="00556E37">
      <w:pPr>
        <w:pStyle w:val="ListParagraph"/>
        <w:numPr>
          <w:ilvl w:val="0"/>
          <w:numId w:val="9"/>
        </w:numPr>
      </w:pPr>
      <w:r>
        <w:t>AT (anti-terrorism) controls</w:t>
      </w:r>
      <w:r w:rsidR="007520FB">
        <w:t xml:space="preserve"> (only)</w:t>
      </w:r>
      <w:r>
        <w:t xml:space="preserve"> </w:t>
      </w:r>
      <w:proofErr w:type="gramStart"/>
      <w:r>
        <w:t>apply</w:t>
      </w:r>
      <w:proofErr w:type="gramEnd"/>
    </w:p>
    <w:p w14:paraId="51B7E657" w14:textId="47E43983" w:rsidR="007520FB" w:rsidRDefault="00DF3324" w:rsidP="007520FB">
      <w:pPr>
        <w:pStyle w:val="ListParagraph"/>
        <w:numPr>
          <w:ilvl w:val="0"/>
          <w:numId w:val="9"/>
        </w:numPr>
      </w:pPr>
      <w:r>
        <w:t xml:space="preserve">Other </w:t>
      </w:r>
      <w:r w:rsidR="007520FB" w:rsidRPr="007520FB">
        <w:t xml:space="preserve">Commerce Control List </w:t>
      </w:r>
      <w:r w:rsidR="007520FB">
        <w:t xml:space="preserve">(“CCL” - </w:t>
      </w:r>
      <w:r>
        <w:t>specific ECCN controls) apply.</w:t>
      </w:r>
      <w:r w:rsidR="007520FB" w:rsidRPr="007520FB">
        <w:t xml:space="preserve"> </w:t>
      </w:r>
    </w:p>
    <w:p w14:paraId="5D25ED8A" w14:textId="3FEDB5D9" w:rsidR="007520FB" w:rsidRDefault="007520FB" w:rsidP="00556E37">
      <w:pPr>
        <w:ind w:left="360"/>
      </w:pPr>
      <w:r>
        <w:t>ECCN basics:</w:t>
      </w:r>
    </w:p>
    <w:p w14:paraId="1316A3F9" w14:textId="220F18EA" w:rsidR="007520FB" w:rsidRDefault="007520FB" w:rsidP="00556E37">
      <w:pPr>
        <w:pStyle w:val="ListParagraph"/>
        <w:numPr>
          <w:ilvl w:val="0"/>
          <w:numId w:val="10"/>
        </w:numPr>
      </w:pPr>
      <w:r>
        <w:lastRenderedPageBreak/>
        <w:t>Specific controls are set out in Export Control Classification Numbers (ECCNs).</w:t>
      </w:r>
      <w:r w:rsidR="006A28B4" w:rsidRPr="006A28B4">
        <w:rPr>
          <w:rStyle w:val="FootnoteReference"/>
          <w:rFonts w:ascii="Arial" w:hAnsi="Arial" w:cs="Arial"/>
          <w:color w:val="555555"/>
          <w:sz w:val="21"/>
          <w:szCs w:val="21"/>
          <w:shd w:val="clear" w:color="auto" w:fill="FFFFFF"/>
        </w:rPr>
        <w:t xml:space="preserve"> </w:t>
      </w:r>
      <w:r w:rsidR="006A28B4">
        <w:rPr>
          <w:rStyle w:val="FootnoteReference"/>
          <w:rFonts w:ascii="Arial" w:hAnsi="Arial" w:cs="Arial"/>
          <w:color w:val="555555"/>
          <w:sz w:val="21"/>
          <w:szCs w:val="21"/>
          <w:shd w:val="clear" w:color="auto" w:fill="FFFFFF"/>
        </w:rPr>
        <w:footnoteReference w:id="8"/>
      </w:r>
    </w:p>
    <w:p w14:paraId="669D3CF4" w14:textId="77777777" w:rsidR="007520FB" w:rsidRDefault="007520FB" w:rsidP="00556E37">
      <w:pPr>
        <w:pStyle w:val="ListParagraph"/>
        <w:numPr>
          <w:ilvl w:val="0"/>
          <w:numId w:val="10"/>
        </w:numPr>
      </w:pPr>
      <w:r>
        <w:t xml:space="preserve">An ECCN is a designation that an item is controlled because of its specific performance characteristics, qualities, or designed-end use. The item can be a tangible or intangible (i.e., software or technology). </w:t>
      </w:r>
    </w:p>
    <w:p w14:paraId="39385101" w14:textId="255D0C11" w:rsidR="007520FB" w:rsidRDefault="007520FB" w:rsidP="00556E37">
      <w:pPr>
        <w:pStyle w:val="ListParagraph"/>
        <w:numPr>
          <w:ilvl w:val="0"/>
          <w:numId w:val="10"/>
        </w:numPr>
      </w:pPr>
      <w:r>
        <w:t xml:space="preserve">ECCNs are very precisely defined and are focused on commodity, </w:t>
      </w:r>
      <w:proofErr w:type="gramStart"/>
      <w:r>
        <w:t>software</w:t>
      </w:r>
      <w:proofErr w:type="gramEnd"/>
      <w:r>
        <w:t xml:space="preserve"> and technology product groupings. </w:t>
      </w:r>
    </w:p>
    <w:p w14:paraId="40887093" w14:textId="77777777" w:rsidR="007520FB" w:rsidRDefault="007520FB" w:rsidP="00556E37">
      <w:pPr>
        <w:pStyle w:val="ListParagraph"/>
        <w:numPr>
          <w:ilvl w:val="0"/>
          <w:numId w:val="10"/>
        </w:numPr>
      </w:pPr>
      <w:r>
        <w:t xml:space="preserve">An ECCN is a five-digit alphanumeric designation that categorizes items based on the nature of the product, </w:t>
      </w:r>
      <w:proofErr w:type="gramStart"/>
      <w:r>
        <w:t>i.e.</w:t>
      </w:r>
      <w:proofErr w:type="gramEnd"/>
      <w:r>
        <w:t xml:space="preserve"> type of commodity, software, or technology and its respective technical parameters. An example of an ECCN is 0A979, which corresponds to police helmets and shields. </w:t>
      </w:r>
    </w:p>
    <w:p w14:paraId="4D185BF8" w14:textId="4D538FBE" w:rsidR="00DF3324" w:rsidRPr="000E618E" w:rsidRDefault="007520FB" w:rsidP="00556E37">
      <w:pPr>
        <w:pStyle w:val="ListParagraph"/>
        <w:numPr>
          <w:ilvl w:val="0"/>
          <w:numId w:val="10"/>
        </w:numPr>
      </w:pPr>
      <w:r>
        <w:t>Each ECCN lists important information that includes a general description of the controlled item(s), the reason(s) for control, available licence exceptions, and, when necessary, additional details on related controls, and more specific item definitions</w:t>
      </w:r>
    </w:p>
    <w:p w14:paraId="15B5DBCF" w14:textId="35F93ED5" w:rsidR="00D46BF3" w:rsidRDefault="00D93928" w:rsidP="00D46BF3">
      <w:pPr>
        <w:pStyle w:val="ListParagraph"/>
        <w:numPr>
          <w:ilvl w:val="0"/>
          <w:numId w:val="2"/>
        </w:numPr>
        <w:ind w:left="360"/>
      </w:pPr>
      <w:r w:rsidRPr="000E618E">
        <w:t xml:space="preserve">Where restrictions </w:t>
      </w:r>
      <w:proofErr w:type="gramStart"/>
      <w:r w:rsidRPr="000E618E">
        <w:t>apply</w:t>
      </w:r>
      <w:proofErr w:type="gramEnd"/>
      <w:r w:rsidRPr="000E618E">
        <w:t xml:space="preserve"> they have to be observed unless BIS grant a licence</w:t>
      </w:r>
      <w:r w:rsidR="008F00F9">
        <w:t xml:space="preserve"> or another EAR authorization is available, </w:t>
      </w:r>
      <w:proofErr w:type="spellStart"/>
      <w:r w:rsidR="008F00F9">
        <w:t>eg</w:t>
      </w:r>
      <w:proofErr w:type="spellEnd"/>
      <w:r w:rsidR="008F00F9">
        <w:t xml:space="preserve"> an EAR license exception</w:t>
      </w:r>
      <w:r w:rsidRPr="000E618E">
        <w:t>.  In some cases (</w:t>
      </w:r>
      <w:proofErr w:type="spellStart"/>
      <w:proofErr w:type="gramStart"/>
      <w:r w:rsidR="008F00F9">
        <w:t>eg</w:t>
      </w:r>
      <w:proofErr w:type="spellEnd"/>
      <w:proofErr w:type="gramEnd"/>
      <w:r w:rsidR="008F00F9">
        <w:t xml:space="preserve"> </w:t>
      </w:r>
      <w:r w:rsidRPr="000E618E">
        <w:t xml:space="preserve">prohibited end users) there is a presumption of denial, so the licence is very likely to </w:t>
      </w:r>
      <w:r w:rsidR="008F00F9">
        <w:t>not be approved)</w:t>
      </w:r>
      <w:r w:rsidRPr="000E618E">
        <w:t>.</w:t>
      </w:r>
      <w:r w:rsidR="008F00F9">
        <w:t xml:space="preserve">  For Russia and Belarus sanctions</w:t>
      </w:r>
      <w:r w:rsidR="00925B91">
        <w:t xml:space="preserve"> in </w:t>
      </w:r>
      <w:r w:rsidR="00A03F1C">
        <w:t>parts</w:t>
      </w:r>
      <w:r w:rsidR="00925B91">
        <w:t xml:space="preserve"> </w:t>
      </w:r>
      <w:r w:rsidR="00A03F1C">
        <w:t xml:space="preserve">744 and </w:t>
      </w:r>
      <w:r w:rsidR="00925B91">
        <w:t>746</w:t>
      </w:r>
      <w:r w:rsidR="00A03F1C">
        <w:t xml:space="preserve"> of the EAR</w:t>
      </w:r>
      <w:r w:rsidR="005E2285">
        <w:t>,</w:t>
      </w:r>
      <w:r w:rsidR="008F00F9">
        <w:t xml:space="preserve"> the license</w:t>
      </w:r>
      <w:r w:rsidR="006A28B4">
        <w:t xml:space="preserve"> </w:t>
      </w:r>
      <w:r w:rsidR="008F00F9">
        <w:t>review policy is generally a policy of denial</w:t>
      </w:r>
      <w:r w:rsidR="005E2285">
        <w:t xml:space="preserve"> for the sanctions that have been added to the EAR to address Russia’s invasion of Ukraine</w:t>
      </w:r>
      <w:r w:rsidR="008F00F9">
        <w:t xml:space="preserve">.  </w:t>
      </w:r>
    </w:p>
    <w:p w14:paraId="7CBE61E5" w14:textId="544DA853" w:rsidR="001E70C8" w:rsidRPr="00280F90" w:rsidRDefault="000E618E" w:rsidP="00D46BF3">
      <w:pPr>
        <w:pStyle w:val="ListParagraph"/>
        <w:numPr>
          <w:ilvl w:val="0"/>
          <w:numId w:val="2"/>
        </w:numPr>
        <w:ind w:left="360"/>
      </w:pPr>
      <w:r w:rsidRPr="000E618E">
        <w:t xml:space="preserve">The </w:t>
      </w:r>
      <w:r w:rsidR="00D93928">
        <w:t xml:space="preserve">end-use </w:t>
      </w:r>
      <w:r w:rsidR="005E2285">
        <w:t>and end user</w:t>
      </w:r>
      <w:r w:rsidR="002A1454">
        <w:t xml:space="preserve"> ‘General’</w:t>
      </w:r>
      <w:r w:rsidR="005E2285">
        <w:t xml:space="preserve"> </w:t>
      </w:r>
      <w:r w:rsidRPr="000E618E">
        <w:t xml:space="preserve">prohibitions </w:t>
      </w:r>
      <w:r w:rsidR="00804F30" w:rsidRPr="00D46BF3">
        <w:rPr>
          <w:rFonts w:ascii="Calibri" w:hAnsi="Calibri" w:cs="Calibri"/>
          <w:b/>
          <w:lang w:val="en-US"/>
        </w:rPr>
        <w:t xml:space="preserve">apply </w:t>
      </w:r>
      <w:proofErr w:type="gramStart"/>
      <w:r w:rsidR="00804F30" w:rsidRPr="00280F90">
        <w:rPr>
          <w:rFonts w:ascii="Calibri" w:hAnsi="Calibri" w:cs="Calibri"/>
          <w:b/>
          <w:u w:val="single"/>
          <w:lang w:val="en-US"/>
        </w:rPr>
        <w:t>whether or not</w:t>
      </w:r>
      <w:proofErr w:type="gramEnd"/>
      <w:r w:rsidR="00804F30" w:rsidRPr="00280F90">
        <w:rPr>
          <w:rFonts w:ascii="Calibri" w:hAnsi="Calibri" w:cs="Calibri"/>
          <w:b/>
          <w:u w:val="single"/>
          <w:lang w:val="en-US"/>
        </w:rPr>
        <w:t xml:space="preserve"> the item is speci</w:t>
      </w:r>
      <w:r w:rsidR="00D46BF3" w:rsidRPr="00280F90">
        <w:rPr>
          <w:rFonts w:ascii="Calibri" w:hAnsi="Calibri" w:cs="Calibri"/>
          <w:b/>
          <w:u w:val="single"/>
          <w:lang w:val="en-US"/>
        </w:rPr>
        <w:t>fically controlled by an ECCN</w:t>
      </w:r>
      <w:r w:rsidR="00D46BF3" w:rsidRPr="00280F90">
        <w:rPr>
          <w:rFonts w:ascii="Calibri" w:hAnsi="Calibri" w:cs="Calibri"/>
          <w:b/>
          <w:lang w:val="en-US"/>
        </w:rPr>
        <w:t>. T</w:t>
      </w:r>
      <w:r w:rsidR="00804F30" w:rsidRPr="00280F90">
        <w:rPr>
          <w:rFonts w:ascii="Calibri" w:hAnsi="Calibri" w:cs="Calibri"/>
          <w:b/>
          <w:lang w:val="en-US"/>
        </w:rPr>
        <w:t xml:space="preserve">hey apply </w:t>
      </w:r>
      <w:r w:rsidR="00FD5D1A" w:rsidRPr="00280F90">
        <w:rPr>
          <w:rFonts w:ascii="Calibri" w:hAnsi="Calibri" w:cs="Calibri"/>
          <w:b/>
          <w:lang w:val="en-US"/>
        </w:rPr>
        <w:t xml:space="preserve">in most cases </w:t>
      </w:r>
      <w:r w:rsidR="00804F30" w:rsidRPr="00280F90">
        <w:rPr>
          <w:rFonts w:ascii="Calibri" w:hAnsi="Calibri" w:cs="Calibri"/>
          <w:b/>
          <w:lang w:val="en-US"/>
        </w:rPr>
        <w:t>even if the item has the designation EAR99</w:t>
      </w:r>
      <w:r w:rsidR="007520FB" w:rsidRPr="00280F90">
        <w:rPr>
          <w:rFonts w:ascii="Calibri" w:hAnsi="Calibri" w:cs="Calibri"/>
          <w:lang w:val="en-US"/>
        </w:rPr>
        <w:t xml:space="preserve"> - a broad </w:t>
      </w:r>
      <w:r w:rsidR="00556E37" w:rsidRPr="00280F90">
        <w:rPr>
          <w:rFonts w:ascii="Calibri" w:hAnsi="Calibri" w:cs="Calibri"/>
          <w:lang w:val="en-US"/>
        </w:rPr>
        <w:t xml:space="preserve">low-level </w:t>
      </w:r>
      <w:r w:rsidR="007520FB" w:rsidRPr="00280F90">
        <w:rPr>
          <w:rFonts w:ascii="Calibri" w:hAnsi="Calibri" w:cs="Calibri"/>
          <w:lang w:val="en-US"/>
        </w:rPr>
        <w:t>classification that covers most commercial goods</w:t>
      </w:r>
      <w:r w:rsidR="00804F30" w:rsidRPr="00280F90">
        <w:rPr>
          <w:rFonts w:ascii="Calibri" w:hAnsi="Calibri" w:cs="Calibri"/>
          <w:b/>
          <w:lang w:val="en-US"/>
        </w:rPr>
        <w:t xml:space="preserve">. </w:t>
      </w:r>
      <w:r w:rsidR="00804F30" w:rsidRPr="00280F90">
        <w:rPr>
          <w:rFonts w:ascii="Calibri" w:hAnsi="Calibri" w:cs="Calibri"/>
          <w:lang w:val="en-US"/>
        </w:rPr>
        <w:t xml:space="preserve">They </w:t>
      </w:r>
      <w:r w:rsidRPr="00280F90">
        <w:t xml:space="preserve">affect UK HE where an equipment user (collaborator, </w:t>
      </w:r>
      <w:proofErr w:type="gramStart"/>
      <w:r w:rsidRPr="00280F90">
        <w:t>researcher</w:t>
      </w:r>
      <w:proofErr w:type="gramEnd"/>
      <w:r w:rsidRPr="00280F90">
        <w:t xml:space="preserve"> or student)</w:t>
      </w:r>
    </w:p>
    <w:p w14:paraId="2EBE9C42" w14:textId="0B163070" w:rsidR="000E618E" w:rsidRPr="000E618E" w:rsidRDefault="000E618E" w:rsidP="00B42A60">
      <w:pPr>
        <w:pStyle w:val="ListParagraph"/>
        <w:spacing w:after="0" w:line="240" w:lineRule="auto"/>
        <w:ind w:left="1156" w:hanging="436"/>
      </w:pPr>
      <w:r w:rsidRPr="00280F90">
        <w:t>•</w:t>
      </w:r>
      <w:r w:rsidRPr="00280F90">
        <w:tab/>
        <w:t xml:space="preserve">is from </w:t>
      </w:r>
      <w:r w:rsidRPr="00280F90">
        <w:rPr>
          <w:b/>
          <w:bCs/>
        </w:rPr>
        <w:t xml:space="preserve">North </w:t>
      </w:r>
      <w:r w:rsidRPr="00280F90">
        <w:rPr>
          <w:rFonts w:ascii="Calibri" w:hAnsi="Calibri" w:cs="Calibri"/>
          <w:b/>
          <w:lang w:val="en-US"/>
        </w:rPr>
        <w:t>Korea</w:t>
      </w:r>
      <w:r w:rsidR="00623ECB" w:rsidRPr="00280F90">
        <w:rPr>
          <w:rFonts w:ascii="Calibri" w:hAnsi="Calibri" w:cs="Calibri"/>
          <w:b/>
          <w:lang w:val="en-US"/>
        </w:rPr>
        <w:t>,</w:t>
      </w:r>
      <w:r w:rsidR="00EF4EE3" w:rsidRPr="00280F90">
        <w:rPr>
          <w:rFonts w:ascii="Calibri" w:hAnsi="Calibri" w:cs="Calibri"/>
          <w:b/>
          <w:lang w:val="en-US"/>
        </w:rPr>
        <w:t xml:space="preserve"> </w:t>
      </w:r>
      <w:r w:rsidR="00925B91" w:rsidRPr="00280F90">
        <w:rPr>
          <w:rFonts w:ascii="Calibri" w:hAnsi="Calibri" w:cs="Calibri"/>
          <w:b/>
          <w:lang w:val="en-US"/>
        </w:rPr>
        <w:t>(</w:t>
      </w:r>
      <w:r w:rsidR="001421B6" w:rsidRPr="00280F90">
        <w:rPr>
          <w:rFonts w:ascii="Calibri" w:hAnsi="Calibri" w:cs="Calibri"/>
          <w:b/>
          <w:lang w:val="en-US"/>
        </w:rPr>
        <w:t>Crimea</w:t>
      </w:r>
      <w:r w:rsidR="00925B91" w:rsidRPr="00280F90">
        <w:rPr>
          <w:rFonts w:ascii="Calibri" w:hAnsi="Calibri" w:cs="Calibri"/>
          <w:b/>
          <w:lang w:val="en-US"/>
        </w:rPr>
        <w:t xml:space="preserve"> region of Ukraine, </w:t>
      </w:r>
      <w:r w:rsidR="00623ECB" w:rsidRPr="00280F90">
        <w:rPr>
          <w:rFonts w:ascii="Calibri" w:hAnsi="Calibri" w:cs="Calibri"/>
          <w:b/>
          <w:lang w:val="en-US"/>
        </w:rPr>
        <w:t>the Donetsk People’s Republic, or Luhansk People’s Republic</w:t>
      </w:r>
      <w:r w:rsidR="00925B91" w:rsidRPr="00280F90">
        <w:rPr>
          <w:rFonts w:ascii="Calibri" w:hAnsi="Calibri" w:cs="Calibri"/>
          <w:b/>
          <w:lang w:val="en-US"/>
        </w:rPr>
        <w:t xml:space="preserve">, but </w:t>
      </w:r>
      <w:r w:rsidR="006370AD" w:rsidRPr="00280F90">
        <w:rPr>
          <w:rFonts w:ascii="Calibri" w:hAnsi="Calibri" w:cs="Calibri"/>
          <w:b/>
          <w:lang w:val="en-US"/>
        </w:rPr>
        <w:t xml:space="preserve">note that </w:t>
      </w:r>
      <w:r w:rsidR="00925B91" w:rsidRPr="00280F90">
        <w:rPr>
          <w:rFonts w:ascii="Calibri" w:hAnsi="Calibri" w:cs="Calibri"/>
          <w:b/>
          <w:lang w:val="en-US"/>
        </w:rPr>
        <w:t>BIS uses the Country of Ukraine for determining the deemed reexport requirements</w:t>
      </w:r>
      <w:r w:rsidR="005D130E" w:rsidRPr="00280F90">
        <w:rPr>
          <w:rFonts w:ascii="Calibri" w:hAnsi="Calibri" w:cs="Calibri"/>
          <w:b/>
          <w:lang w:val="en-US"/>
        </w:rPr>
        <w:t xml:space="preserve"> for Ukrainian nationals</w:t>
      </w:r>
      <w:r w:rsidR="00925B91" w:rsidRPr="00280F90">
        <w:rPr>
          <w:rFonts w:ascii="Calibri" w:hAnsi="Calibri" w:cs="Calibri"/>
          <w:b/>
          <w:lang w:val="en-US"/>
        </w:rPr>
        <w:t>, so a deemed reexport of EAR99 technology or source code would not require an EAR authorization for a Ukrainian national, unless a part 744 end use or end user control was applicable)</w:t>
      </w:r>
      <w:r w:rsidR="00A156BB" w:rsidRPr="00280F90">
        <w:rPr>
          <w:rStyle w:val="FootnoteReference"/>
          <w:rFonts w:ascii="Calibri" w:hAnsi="Calibri" w:cs="Calibri"/>
          <w:b/>
          <w:i/>
          <w:lang w:val="en-US"/>
        </w:rPr>
        <w:footnoteReference w:id="9"/>
      </w:r>
      <w:r w:rsidR="00A156BB" w:rsidRPr="00280F90">
        <w:rPr>
          <w:b/>
          <w:bCs/>
        </w:rPr>
        <w:t xml:space="preserve"> </w:t>
      </w:r>
      <w:r w:rsidR="004B3DFB" w:rsidRPr="00DC5ABE">
        <w:rPr>
          <w:b/>
          <w:bCs/>
          <w:color w:val="FF0000"/>
        </w:rPr>
        <w:t xml:space="preserve"> </w:t>
      </w:r>
    </w:p>
    <w:p w14:paraId="617D5270" w14:textId="77777777" w:rsidR="000E618E" w:rsidRPr="000E618E" w:rsidRDefault="000E618E" w:rsidP="00330066">
      <w:pPr>
        <w:pStyle w:val="ListParagraph"/>
        <w:numPr>
          <w:ilvl w:val="0"/>
          <w:numId w:val="8"/>
        </w:numPr>
        <w:spacing w:after="0"/>
      </w:pPr>
      <w:r w:rsidRPr="000E618E">
        <w:lastRenderedPageBreak/>
        <w:t xml:space="preserve">is a </w:t>
      </w:r>
      <w:r w:rsidRPr="00330066">
        <w:rPr>
          <w:b/>
          <w:bCs/>
        </w:rPr>
        <w:t xml:space="preserve">prohibited end user </w:t>
      </w:r>
      <w:hyperlink r:id="rId8" w:history="1">
        <w:r w:rsidRPr="000E618E">
          <w:rPr>
            <w:rStyle w:val="Hyperlink"/>
          </w:rPr>
          <w:t>https://www.trade.gov/data-visualization/csl-search</w:t>
        </w:r>
      </w:hyperlink>
      <w:r w:rsidR="00A156BB">
        <w:rPr>
          <w:rStyle w:val="FootnoteReference"/>
          <w:rFonts w:ascii="Calibri" w:hAnsi="Calibri" w:cs="Calibri"/>
          <w:lang w:val="en-US"/>
        </w:rPr>
        <w:footnoteReference w:id="10"/>
      </w:r>
    </w:p>
    <w:p w14:paraId="1FD070F3" w14:textId="77777777" w:rsidR="000E618E" w:rsidRPr="000E618E" w:rsidRDefault="000E618E" w:rsidP="00330066">
      <w:pPr>
        <w:pStyle w:val="ListParagraph"/>
        <w:numPr>
          <w:ilvl w:val="0"/>
          <w:numId w:val="8"/>
        </w:numPr>
        <w:spacing w:after="0"/>
      </w:pPr>
      <w:r w:rsidRPr="000E618E">
        <w:t xml:space="preserve">will be doing </w:t>
      </w:r>
      <w:r w:rsidRPr="00330066">
        <w:rPr>
          <w:b/>
          <w:bCs/>
        </w:rPr>
        <w:t xml:space="preserve">military intelligence </w:t>
      </w:r>
      <w:r w:rsidRPr="000E618E">
        <w:t>research</w:t>
      </w:r>
      <w:r w:rsidR="00CE0C82">
        <w:rPr>
          <w:rStyle w:val="FootnoteReference"/>
        </w:rPr>
        <w:footnoteReference w:id="11"/>
      </w:r>
      <w:r w:rsidRPr="000E618E">
        <w:t>; or</w:t>
      </w:r>
    </w:p>
    <w:p w14:paraId="1A89E116" w14:textId="77777777" w:rsidR="00330066" w:rsidRDefault="000E618E" w:rsidP="00330066">
      <w:pPr>
        <w:pStyle w:val="ListParagraph"/>
        <w:numPr>
          <w:ilvl w:val="0"/>
          <w:numId w:val="8"/>
        </w:numPr>
        <w:spacing w:after="0"/>
      </w:pPr>
      <w:r w:rsidRPr="000E618E">
        <w:t xml:space="preserve">will be doing </w:t>
      </w:r>
      <w:r w:rsidRPr="00330066">
        <w:rPr>
          <w:b/>
          <w:bCs/>
        </w:rPr>
        <w:t xml:space="preserve">missiles or chemical or </w:t>
      </w:r>
      <w:proofErr w:type="gramStart"/>
      <w:r w:rsidRPr="00330066">
        <w:rPr>
          <w:b/>
          <w:bCs/>
        </w:rPr>
        <w:t>bio weapons</w:t>
      </w:r>
      <w:proofErr w:type="gramEnd"/>
      <w:r w:rsidRPr="00330066">
        <w:rPr>
          <w:b/>
          <w:bCs/>
        </w:rPr>
        <w:t xml:space="preserve"> </w:t>
      </w:r>
      <w:r w:rsidRPr="000E618E">
        <w:t>research</w:t>
      </w:r>
    </w:p>
    <w:p w14:paraId="368CD56C" w14:textId="77777777" w:rsidR="00330066" w:rsidRDefault="00330066" w:rsidP="00330066">
      <w:pPr>
        <w:pStyle w:val="ListParagraph"/>
        <w:numPr>
          <w:ilvl w:val="0"/>
          <w:numId w:val="8"/>
        </w:numPr>
        <w:spacing w:after="0"/>
      </w:pPr>
      <w:r w:rsidRPr="00D46BF3">
        <w:rPr>
          <w:b/>
        </w:rPr>
        <w:t>any other standard prohibited end use</w:t>
      </w:r>
      <w:r>
        <w:t xml:space="preserve"> [insert URL]</w:t>
      </w:r>
    </w:p>
    <w:p w14:paraId="53E44E33" w14:textId="2B58FBD1" w:rsidR="000E618E" w:rsidRDefault="000E618E" w:rsidP="00D642C8">
      <w:pPr>
        <w:spacing w:after="0"/>
        <w:ind w:left="284"/>
      </w:pPr>
      <w:r w:rsidRPr="000E618E">
        <w:t xml:space="preserve">Research in relation to </w:t>
      </w:r>
      <w:r w:rsidRPr="000E618E">
        <w:rPr>
          <w:i/>
          <w:iCs/>
        </w:rPr>
        <w:t>nuclear fuel cycle activities</w:t>
      </w:r>
      <w:r w:rsidRPr="000E618E">
        <w:t xml:space="preserve"> is controlled under the EAR but the controls </w:t>
      </w:r>
      <w:r w:rsidRPr="000E618E">
        <w:rPr>
          <w:i/>
          <w:iCs/>
        </w:rPr>
        <w:t xml:space="preserve">do not </w:t>
      </w:r>
      <w:r w:rsidRPr="000E618E">
        <w:t>apply to activity in the UK</w:t>
      </w:r>
      <w:r w:rsidR="00B42A60">
        <w:t xml:space="preserve"> - S</w:t>
      </w:r>
      <w:proofErr w:type="spellStart"/>
      <w:r w:rsidR="00CE0C82" w:rsidRPr="00D42421">
        <w:rPr>
          <w:rFonts w:ascii="Calibri" w:hAnsi="Calibri" w:cs="Calibri"/>
          <w:lang w:val="en-US"/>
        </w:rPr>
        <w:t>upplement</w:t>
      </w:r>
      <w:proofErr w:type="spellEnd"/>
      <w:r w:rsidR="00CE0C82" w:rsidRPr="00D42421">
        <w:rPr>
          <w:rFonts w:ascii="Calibri" w:hAnsi="Calibri" w:cs="Calibri"/>
          <w:lang w:val="en-US"/>
        </w:rPr>
        <w:t xml:space="preserve"> No. 3 to part 744 provides that this section (</w:t>
      </w:r>
      <w:r w:rsidR="00A03F1C" w:rsidRPr="00994F65">
        <w:t>§</w:t>
      </w:r>
      <w:r w:rsidR="00A03F1C">
        <w:t xml:space="preserve"> </w:t>
      </w:r>
      <w:r w:rsidR="00CE0C82" w:rsidRPr="00D42421">
        <w:rPr>
          <w:rFonts w:ascii="Calibri" w:hAnsi="Calibri" w:cs="Calibri"/>
          <w:lang w:val="en-US"/>
        </w:rPr>
        <w:t>744.2(a)</w:t>
      </w:r>
      <w:r w:rsidR="00A03F1C">
        <w:rPr>
          <w:rFonts w:ascii="Calibri" w:hAnsi="Calibri" w:cs="Calibri"/>
          <w:lang w:val="en-US"/>
        </w:rPr>
        <w:t xml:space="preserve"> of the EAR</w:t>
      </w:r>
      <w:r w:rsidR="00CE0C82" w:rsidRPr="00D42421">
        <w:rPr>
          <w:rFonts w:ascii="Calibri" w:hAnsi="Calibri" w:cs="Calibri"/>
          <w:lang w:val="en-US"/>
        </w:rPr>
        <w:t>) does not apply to exports, re-exports, or transfers (in-country) to or within</w:t>
      </w:r>
      <w:r w:rsidR="00CE0C82">
        <w:rPr>
          <w:rFonts w:ascii="Calibri" w:hAnsi="Calibri" w:cs="Calibri"/>
          <w:lang w:val="en-US"/>
        </w:rPr>
        <w:t xml:space="preserve"> UK</w:t>
      </w:r>
      <w:r w:rsidRPr="000E618E">
        <w:t>.</w:t>
      </w:r>
    </w:p>
    <w:p w14:paraId="7898DCAE" w14:textId="0B9093EE" w:rsidR="00D46BF3" w:rsidRPr="00D46BF3" w:rsidRDefault="00D46BF3" w:rsidP="00D642C8">
      <w:pPr>
        <w:pStyle w:val="ListParagraph"/>
        <w:numPr>
          <w:ilvl w:val="0"/>
          <w:numId w:val="2"/>
        </w:numPr>
        <w:spacing w:after="0"/>
        <w:ind w:left="284" w:hanging="284"/>
      </w:pPr>
      <w:bookmarkStart w:id="0" w:name="_Ref137052959"/>
      <w:r>
        <w:t xml:space="preserve">Where the equipment or technology is </w:t>
      </w:r>
      <w:r w:rsidRPr="00D46BF3">
        <w:rPr>
          <w:u w:val="single"/>
        </w:rPr>
        <w:t>not</w:t>
      </w:r>
      <w:r>
        <w:t xml:space="preserve"> EAR99 </w:t>
      </w:r>
      <w:r w:rsidRPr="00D46BF3">
        <w:rPr>
          <w:u w:val="single"/>
        </w:rPr>
        <w:t>and</w:t>
      </w:r>
      <w:r>
        <w:t xml:space="preserve"> is controlled for </w:t>
      </w:r>
      <w:r w:rsidRPr="00D46BF3">
        <w:t>AT-reasons</w:t>
      </w:r>
      <w:r w:rsidR="007520FB">
        <w:t xml:space="preserve"> only</w:t>
      </w:r>
      <w:r w:rsidRPr="00D46BF3">
        <w:t>, access to the technology may not be given to nationals of Cuba, Iran, or Syria</w:t>
      </w:r>
      <w:r w:rsidR="00FD5D1A">
        <w:t xml:space="preserve"> unless authorized under a BIS license or license exception</w:t>
      </w:r>
      <w:r w:rsidR="002A1454">
        <w:t>. Where controlled for reasons other than AT, a licence will be required if the restrictions cannot be observed</w:t>
      </w:r>
      <w:r>
        <w:t>.</w:t>
      </w:r>
      <w:r>
        <w:rPr>
          <w:rStyle w:val="FootnoteReference"/>
        </w:rPr>
        <w:footnoteReference w:id="12"/>
      </w:r>
      <w:bookmarkEnd w:id="0"/>
    </w:p>
    <w:p w14:paraId="68CC2702" w14:textId="77777777" w:rsidR="006A28B4" w:rsidRPr="00556E37" w:rsidRDefault="002A1454" w:rsidP="00D93928">
      <w:pPr>
        <w:pStyle w:val="ListParagraph"/>
        <w:numPr>
          <w:ilvl w:val="0"/>
          <w:numId w:val="2"/>
        </w:numPr>
        <w:ind w:left="284" w:hanging="284"/>
      </w:pPr>
      <w:r>
        <w:rPr>
          <w:lang w:val="en-US"/>
        </w:rPr>
        <w:t xml:space="preserve">Do not ship </w:t>
      </w:r>
      <w:r w:rsidR="006A28B4">
        <w:rPr>
          <w:lang w:val="en-US"/>
        </w:rPr>
        <w:t>US-</w:t>
      </w:r>
      <w:r>
        <w:rPr>
          <w:lang w:val="en-US"/>
        </w:rPr>
        <w:t xml:space="preserve">derived equipment out of the UK without checking the ECCNs.  </w:t>
      </w:r>
      <w:r w:rsidR="006A28B4">
        <w:rPr>
          <w:lang w:val="en-US"/>
        </w:rPr>
        <w:t xml:space="preserve">Do not ship US-derived equipment within the UK without checking if there is to be a change in end use or end user; if so check whether a BIS </w:t>
      </w:r>
      <w:proofErr w:type="spellStart"/>
      <w:r w:rsidR="006A28B4">
        <w:rPr>
          <w:lang w:val="en-US"/>
        </w:rPr>
        <w:t>licence</w:t>
      </w:r>
      <w:proofErr w:type="spellEnd"/>
      <w:r w:rsidR="006A28B4">
        <w:rPr>
          <w:lang w:val="en-US"/>
        </w:rPr>
        <w:t xml:space="preserve"> is needed.  </w:t>
      </w:r>
    </w:p>
    <w:p w14:paraId="1B56FD78" w14:textId="6D0EB895" w:rsidR="00D93928" w:rsidRPr="00D93928" w:rsidRDefault="002A1454" w:rsidP="00D93928">
      <w:pPr>
        <w:pStyle w:val="ListParagraph"/>
        <w:numPr>
          <w:ilvl w:val="0"/>
          <w:numId w:val="2"/>
        </w:numPr>
        <w:ind w:left="284" w:hanging="284"/>
      </w:pPr>
      <w:r>
        <w:rPr>
          <w:lang w:val="en-US"/>
        </w:rPr>
        <w:t xml:space="preserve">Do not transmit (‘release’) technology or source code to non-UK nationals without considering the end use and end user General Prohibitions and any other CCL controls which apply. </w:t>
      </w:r>
      <w:r w:rsidR="00D93928" w:rsidRPr="00D93928">
        <w:rPr>
          <w:lang w:val="en-US"/>
        </w:rPr>
        <w:t>Release</w:t>
      </w:r>
      <w:r w:rsidR="00A156BB" w:rsidRPr="004328D7">
        <w:rPr>
          <w:rStyle w:val="FootnoteReference"/>
          <w:rFonts w:ascii="Calibri" w:hAnsi="Calibri" w:cs="Calibri"/>
          <w:lang w:val="en-US"/>
        </w:rPr>
        <w:footnoteReference w:id="13"/>
      </w:r>
      <w:r w:rsidR="00D93928" w:rsidRPr="00D93928">
        <w:rPr>
          <w:lang w:val="en-US"/>
        </w:rPr>
        <w:t xml:space="preserve"> of EAR-controlled technology or software source code to students, researchers or visitors who are not UK nationals (“deemed re-export”) is controlled. </w:t>
      </w:r>
      <w:proofErr w:type="gramStart"/>
      <w:r>
        <w:rPr>
          <w:lang w:val="en-US"/>
        </w:rPr>
        <w:t>So</w:t>
      </w:r>
      <w:proofErr w:type="gramEnd"/>
      <w:r>
        <w:rPr>
          <w:lang w:val="en-US"/>
        </w:rPr>
        <w:t xml:space="preserve"> when is there a ‘release of technology or software’ for which a </w:t>
      </w:r>
      <w:proofErr w:type="spellStart"/>
      <w:r>
        <w:rPr>
          <w:lang w:val="en-US"/>
        </w:rPr>
        <w:t>licence</w:t>
      </w:r>
      <w:proofErr w:type="spellEnd"/>
      <w:r>
        <w:rPr>
          <w:lang w:val="en-US"/>
        </w:rPr>
        <w:t xml:space="preserve"> is needed?</w:t>
      </w:r>
    </w:p>
    <w:p w14:paraId="73469A9D" w14:textId="77777777" w:rsidR="00D93928" w:rsidRPr="00D93928" w:rsidRDefault="00D93928" w:rsidP="00B42A60">
      <w:pPr>
        <w:pStyle w:val="ListParagraph"/>
        <w:numPr>
          <w:ilvl w:val="1"/>
          <w:numId w:val="2"/>
        </w:numPr>
        <w:ind w:left="709" w:hanging="425"/>
      </w:pPr>
      <w:r w:rsidRPr="00D93928">
        <w:rPr>
          <w:lang w:val="en-US"/>
        </w:rPr>
        <w:t xml:space="preserve">There are some exceptions - release </w:t>
      </w:r>
      <w:proofErr w:type="gramStart"/>
      <w:r w:rsidRPr="00D93928">
        <w:rPr>
          <w:lang w:val="en-US"/>
        </w:rPr>
        <w:t>in the course of</w:t>
      </w:r>
      <w:proofErr w:type="gramEnd"/>
      <w:r w:rsidRPr="00D93928">
        <w:rPr>
          <w:lang w:val="en-US"/>
        </w:rPr>
        <w:t xml:space="preserve"> academic lab instruction, published proprietary material.</w:t>
      </w:r>
      <w:r w:rsidR="00F37C87">
        <w:rPr>
          <w:lang w:val="en-US"/>
        </w:rPr>
        <w:t xml:space="preserve"> </w:t>
      </w:r>
      <w:r w:rsidR="00F37C87" w:rsidRPr="00D0247B">
        <w:rPr>
          <w:lang w:val="en-US"/>
        </w:rPr>
        <w:t xml:space="preserve">These are </w:t>
      </w:r>
      <w:r w:rsidR="00F37C87" w:rsidRPr="00D0247B">
        <w:rPr>
          <w:i/>
          <w:lang w:val="en-US"/>
        </w:rPr>
        <w:t>not subject to the EAR</w:t>
      </w:r>
      <w:r w:rsidR="00D0247B" w:rsidRPr="00D0247B">
        <w:rPr>
          <w:i/>
          <w:lang w:val="en-US"/>
        </w:rPr>
        <w:t xml:space="preserve"> at all</w:t>
      </w:r>
      <w:r w:rsidR="00D0247B" w:rsidRPr="00D0247B">
        <w:rPr>
          <w:lang w:val="en-US"/>
        </w:rPr>
        <w:t xml:space="preserve"> – they are </w:t>
      </w:r>
      <w:r w:rsidR="00F37C87" w:rsidRPr="00D0247B">
        <w:rPr>
          <w:lang w:val="en-US"/>
        </w:rPr>
        <w:t>not deemed reexport exceptions</w:t>
      </w:r>
      <w:r w:rsidR="00D0247B" w:rsidRPr="00D0247B">
        <w:rPr>
          <w:rStyle w:val="FootnoteReference"/>
          <w:lang w:val="en-US"/>
        </w:rPr>
        <w:footnoteReference w:id="14"/>
      </w:r>
      <w:r w:rsidR="00F37C87" w:rsidRPr="00D0247B">
        <w:rPr>
          <w:lang w:val="en-US"/>
        </w:rPr>
        <w:t xml:space="preserve">. </w:t>
      </w:r>
    </w:p>
    <w:p w14:paraId="76A677D0" w14:textId="77777777" w:rsidR="00D93928" w:rsidRPr="00D93928" w:rsidRDefault="00D93928" w:rsidP="00B42A60">
      <w:pPr>
        <w:pStyle w:val="ListParagraph"/>
        <w:numPr>
          <w:ilvl w:val="1"/>
          <w:numId w:val="2"/>
        </w:numPr>
        <w:ind w:left="709" w:hanging="425"/>
      </w:pPr>
      <w:r w:rsidRPr="00D93928">
        <w:rPr>
          <w:lang w:val="en-US"/>
        </w:rPr>
        <w:t xml:space="preserve">The </w:t>
      </w:r>
      <w:r w:rsidRPr="00D93928">
        <w:rPr>
          <w:i/>
          <w:iCs/>
          <w:lang w:val="en-US"/>
        </w:rPr>
        <w:t xml:space="preserve">mere operation </w:t>
      </w:r>
      <w:r w:rsidRPr="00D93928">
        <w:rPr>
          <w:lang w:val="en-US"/>
        </w:rPr>
        <w:t>of a piece of equipment does not normally qualify as “</w:t>
      </w:r>
      <w:r w:rsidRPr="00D93928">
        <w:rPr>
          <w:i/>
          <w:lang w:val="en-US"/>
        </w:rPr>
        <w:t>release</w:t>
      </w:r>
      <w:r w:rsidRPr="00D93928">
        <w:rPr>
          <w:lang w:val="en-US"/>
        </w:rPr>
        <w:t xml:space="preserve">” of “technology” as defined in the EAR. </w:t>
      </w:r>
      <w:r w:rsidRPr="00D93928">
        <w:rPr>
          <w:i/>
          <w:iCs/>
          <w:lang w:val="en-US"/>
        </w:rPr>
        <w:t>Technology in this sense does not refer to the physical manifestation which users operate</w:t>
      </w:r>
      <w:r w:rsidRPr="00D93928">
        <w:rPr>
          <w:lang w:val="en-US"/>
        </w:rPr>
        <w:t xml:space="preserve">.  </w:t>
      </w:r>
    </w:p>
    <w:p w14:paraId="6B4F4D49" w14:textId="77777777" w:rsidR="00D93928" w:rsidRPr="00D93928" w:rsidRDefault="00D93928" w:rsidP="00B42A60">
      <w:pPr>
        <w:pStyle w:val="ListParagraph"/>
        <w:numPr>
          <w:ilvl w:val="1"/>
          <w:numId w:val="2"/>
        </w:numPr>
        <w:ind w:left="709" w:hanging="425"/>
      </w:pPr>
      <w:r w:rsidRPr="00D93928">
        <w:rPr>
          <w:lang w:val="en-US"/>
        </w:rPr>
        <w:lastRenderedPageBreak/>
        <w:t xml:space="preserve">The definition of technology is:  information required for the "development," "production," "use" operation, installation, maintenance, repair, overhaul, </w:t>
      </w:r>
      <w:r w:rsidRPr="00D93928">
        <w:rPr>
          <w:i/>
          <w:iCs/>
          <w:lang w:val="en-US"/>
        </w:rPr>
        <w:t>or</w:t>
      </w:r>
      <w:r w:rsidRPr="00D93928">
        <w:rPr>
          <w:lang w:val="en-US"/>
        </w:rPr>
        <w:t xml:space="preserve"> refurbishing - </w:t>
      </w:r>
      <w:r w:rsidRPr="00D93928">
        <w:t xml:space="preserve"> See full definition at </w:t>
      </w:r>
      <w:hyperlink r:id="rId9" w:history="1">
        <w:r w:rsidRPr="00D93928">
          <w:rPr>
            <w:rStyle w:val="Hyperlink"/>
          </w:rPr>
          <w:t>https://www.bis.doc.gov/index.php/documents/regulations-docs/2258-part-772-definitions-of-terms-1</w:t>
        </w:r>
      </w:hyperlink>
      <w:r w:rsidRPr="00D93928">
        <w:t>.</w:t>
      </w:r>
    </w:p>
    <w:p w14:paraId="5C54EAEB" w14:textId="6E787BC5" w:rsidR="00D93928" w:rsidRPr="00D93928" w:rsidRDefault="00D93928" w:rsidP="00B42A60">
      <w:pPr>
        <w:pStyle w:val="ListParagraph"/>
        <w:numPr>
          <w:ilvl w:val="1"/>
          <w:numId w:val="2"/>
        </w:numPr>
        <w:ind w:left="709" w:hanging="425"/>
      </w:pPr>
      <w:r w:rsidRPr="00D93928">
        <w:t xml:space="preserve">‘Release’ is defined in EAR </w:t>
      </w:r>
      <w:r w:rsidR="005D130E" w:rsidRPr="00994F65">
        <w:t>§</w:t>
      </w:r>
      <w:r w:rsidRPr="00D93928">
        <w:t xml:space="preserve"> 734.15 – providing visual or other inspection of items or oral or written exchanges that reveal “technology” or source code, including release of access information (</w:t>
      </w:r>
      <w:proofErr w:type="spellStart"/>
      <w:proofErr w:type="gramStart"/>
      <w:r w:rsidRPr="00D93928">
        <w:t>ie</w:t>
      </w:r>
      <w:proofErr w:type="spellEnd"/>
      <w:proofErr w:type="gramEnd"/>
      <w:r w:rsidRPr="00D93928">
        <w:t xml:space="preserve"> provision of software keys)</w:t>
      </w:r>
      <w:r w:rsidR="00CE0C82" w:rsidRPr="004328D7">
        <w:rPr>
          <w:rFonts w:ascii="Calibri" w:hAnsi="Calibri" w:cs="Calibri"/>
          <w:i/>
          <w:lang w:val="en-US"/>
        </w:rPr>
        <w:t xml:space="preserve"> </w:t>
      </w:r>
      <w:r w:rsidR="00CE0C82" w:rsidRPr="004328D7">
        <w:rPr>
          <w:rStyle w:val="FootnoteReference"/>
          <w:rFonts w:ascii="Calibri" w:hAnsi="Calibri" w:cs="Calibri"/>
          <w:i/>
          <w:lang w:val="en-US"/>
        </w:rPr>
        <w:footnoteReference w:id="15"/>
      </w:r>
      <w:r w:rsidRPr="004328D7">
        <w:t>.</w:t>
      </w:r>
      <w:r w:rsidRPr="00D93928">
        <w:t xml:space="preserve"> </w:t>
      </w:r>
    </w:p>
    <w:p w14:paraId="40C52DE3" w14:textId="77777777" w:rsidR="00D93928" w:rsidRPr="00D93928" w:rsidRDefault="00D93928" w:rsidP="00B42A60">
      <w:pPr>
        <w:pStyle w:val="ListParagraph"/>
        <w:numPr>
          <w:ilvl w:val="1"/>
          <w:numId w:val="2"/>
        </w:numPr>
        <w:ind w:left="709" w:hanging="425"/>
      </w:pPr>
      <w:r w:rsidRPr="00D93928">
        <w:rPr>
          <w:lang w:val="en-US"/>
        </w:rPr>
        <w:t>Mere operation, including training to use equipment does not amount to “</w:t>
      </w:r>
      <w:r w:rsidRPr="00D93928">
        <w:rPr>
          <w:i/>
          <w:lang w:val="en-US"/>
        </w:rPr>
        <w:t>use</w:t>
      </w:r>
      <w:r w:rsidRPr="00D93928">
        <w:rPr>
          <w:lang w:val="en-US"/>
        </w:rPr>
        <w:t xml:space="preserve">”.  </w:t>
      </w:r>
    </w:p>
    <w:p w14:paraId="677E223F" w14:textId="0ED85260" w:rsidR="00D93928" w:rsidRPr="00D93928" w:rsidRDefault="00D93928" w:rsidP="00B42A60">
      <w:pPr>
        <w:pStyle w:val="ListParagraph"/>
        <w:numPr>
          <w:ilvl w:val="1"/>
          <w:numId w:val="2"/>
        </w:numPr>
        <w:ind w:left="709" w:hanging="425"/>
      </w:pPr>
      <w:r w:rsidRPr="00D93928">
        <w:rPr>
          <w:lang w:val="en-US"/>
        </w:rPr>
        <w:t>Academics rarely ‘use’ equipment in all the 6 aspects. Academics typically operate - and even perhaps also maintain and maybe repair –</w:t>
      </w:r>
      <w:r w:rsidR="002A1454">
        <w:rPr>
          <w:lang w:val="en-US"/>
        </w:rPr>
        <w:t xml:space="preserve"> </w:t>
      </w:r>
      <w:r w:rsidRPr="00D93928">
        <w:rPr>
          <w:lang w:val="en-US"/>
        </w:rPr>
        <w:t xml:space="preserve">but those are only 3 of the 6 aspects of use.  So that kind of limited use is not controlled, when the </w:t>
      </w:r>
      <w:r w:rsidR="00091100">
        <w:rPr>
          <w:lang w:val="en-US"/>
        </w:rPr>
        <w:t xml:space="preserve">ECCN </w:t>
      </w:r>
      <w:r w:rsidRPr="00D93928">
        <w:rPr>
          <w:lang w:val="en-US"/>
        </w:rPr>
        <w:t>control attaches to ‘use’</w:t>
      </w:r>
      <w:r w:rsidR="002A1454">
        <w:rPr>
          <w:lang w:val="en-US"/>
        </w:rPr>
        <w:t xml:space="preserve">, that is the </w:t>
      </w:r>
      <w:r w:rsidR="00091100">
        <w:rPr>
          <w:lang w:val="en-US"/>
        </w:rPr>
        <w:t>ECCN control parameter uses the term “use”</w:t>
      </w:r>
      <w:r w:rsidRPr="00D93928">
        <w:rPr>
          <w:lang w:val="en-US"/>
        </w:rPr>
        <w:t>.</w:t>
      </w:r>
    </w:p>
    <w:p w14:paraId="6CF4C159" w14:textId="0765EF69" w:rsidR="00D93928" w:rsidRPr="00D93928" w:rsidRDefault="00D93928" w:rsidP="00B42A60">
      <w:pPr>
        <w:pStyle w:val="ListParagraph"/>
        <w:numPr>
          <w:ilvl w:val="1"/>
          <w:numId w:val="2"/>
        </w:numPr>
        <w:ind w:left="709" w:hanging="425"/>
      </w:pPr>
      <w:r w:rsidRPr="00D93928">
        <w:rPr>
          <w:lang w:val="en-US"/>
        </w:rPr>
        <w:t>Note however that an ECCN may specifically control one of the 6 aspects of use. This is usually in the case of 500- (space)</w:t>
      </w:r>
      <w:r w:rsidR="00091100">
        <w:rPr>
          <w:lang w:val="en-US"/>
        </w:rPr>
        <w:t>,</w:t>
      </w:r>
      <w:r w:rsidRPr="00D93928">
        <w:rPr>
          <w:lang w:val="en-US"/>
        </w:rPr>
        <w:t xml:space="preserve"> 600- (munitions) series</w:t>
      </w:r>
      <w:r w:rsidR="005E2285">
        <w:rPr>
          <w:lang w:val="en-US"/>
        </w:rPr>
        <w:t>, and 0x5zz (firearms)</w:t>
      </w:r>
      <w:r w:rsidRPr="00D93928">
        <w:rPr>
          <w:lang w:val="en-US"/>
        </w:rPr>
        <w:t xml:space="preserve"> ECCNs. If the control was on maintenance, being able to maintain would be sufficient to trigger the control.</w:t>
      </w:r>
      <w:r w:rsidR="005E2285">
        <w:rPr>
          <w:lang w:val="en-US"/>
        </w:rPr>
        <w:t xml:space="preserve">  </w:t>
      </w:r>
      <w:r w:rsidRPr="00D93928">
        <w:rPr>
          <w:lang w:val="en-US"/>
        </w:rPr>
        <w:t xml:space="preserve"> </w:t>
      </w:r>
    </w:p>
    <w:p w14:paraId="04AA53D8" w14:textId="6C9E5473" w:rsidR="00000000" w:rsidRPr="00037A64" w:rsidRDefault="00D93928" w:rsidP="00B42A60">
      <w:pPr>
        <w:pStyle w:val="ListParagraph"/>
        <w:numPr>
          <w:ilvl w:val="1"/>
          <w:numId w:val="2"/>
        </w:numPr>
        <w:ind w:left="709" w:hanging="425"/>
      </w:pPr>
      <w:r w:rsidRPr="00D93928">
        <w:t>ECCNs impose controls by reference to country</w:t>
      </w:r>
      <w:r w:rsidR="005D130E">
        <w:t>, and the ECCN control parameters may also reference the use of the item</w:t>
      </w:r>
      <w:r w:rsidRPr="00D93928">
        <w:t xml:space="preserve">. </w:t>
      </w:r>
      <w:r w:rsidRPr="00B42A60">
        <w:rPr>
          <w:lang w:val="en-US"/>
        </w:rPr>
        <w:t xml:space="preserve">ECCN restrictions may apply to the equipment </w:t>
      </w:r>
      <w:r w:rsidRPr="00B42A60">
        <w:rPr>
          <w:i/>
          <w:iCs/>
          <w:lang w:val="en-US"/>
        </w:rPr>
        <w:t>and</w:t>
      </w:r>
      <w:r w:rsidRPr="00B42A60">
        <w:rPr>
          <w:lang w:val="en-US"/>
        </w:rPr>
        <w:t xml:space="preserve"> to the underlying technology.  </w:t>
      </w:r>
      <w:proofErr w:type="gramStart"/>
      <w:r w:rsidRPr="00B42A60">
        <w:rPr>
          <w:lang w:val="en-US"/>
        </w:rPr>
        <w:t>Therefore</w:t>
      </w:r>
      <w:proofErr w:type="gramEnd"/>
      <w:r w:rsidRPr="00B42A60">
        <w:rPr>
          <w:lang w:val="en-US"/>
        </w:rPr>
        <w:t xml:space="preserve"> it is important to check the Commerce Control List (CCL) ECCNs separately for the equipment, and also for the technology and software.</w:t>
      </w:r>
      <w:r w:rsidR="005E2285">
        <w:rPr>
          <w:lang w:val="en-US"/>
        </w:rPr>
        <w:t xml:space="preserve">  Many of the equipment ECCNs will include a Related Controls section that will reference where the related technology and software is controlled on the CCL to assist re</w:t>
      </w:r>
      <w:r w:rsidR="002A1454">
        <w:rPr>
          <w:lang w:val="en-US"/>
        </w:rPr>
        <w:t>-</w:t>
      </w:r>
      <w:r w:rsidR="005E2285">
        <w:rPr>
          <w:lang w:val="en-US"/>
        </w:rPr>
        <w:t xml:space="preserve">exporters.  </w:t>
      </w:r>
      <w:r w:rsidRPr="00B42A60">
        <w:rPr>
          <w:lang w:val="en-US"/>
        </w:rPr>
        <w:t xml:space="preserve"> </w:t>
      </w:r>
    </w:p>
    <w:p w14:paraId="155F3726" w14:textId="09354826" w:rsidR="00561F4B" w:rsidRPr="00901235" w:rsidRDefault="00037A64" w:rsidP="00901235">
      <w:pPr>
        <w:pStyle w:val="ListParagraph"/>
        <w:numPr>
          <w:ilvl w:val="0"/>
          <w:numId w:val="2"/>
        </w:numPr>
        <w:ind w:left="284" w:hanging="284"/>
        <w:rPr>
          <w:lang w:val="en-US"/>
        </w:rPr>
      </w:pPr>
      <w:r>
        <w:rPr>
          <w:lang w:val="en-US"/>
        </w:rPr>
        <w:t xml:space="preserve">Compliance, both actual and documented, could be achieved when buying equipment, using a set of forms such as the attached </w:t>
      </w:r>
      <w:r w:rsidR="00165717">
        <w:rPr>
          <w:i/>
          <w:lang w:val="en-US"/>
        </w:rPr>
        <w:t>UK end user compliance</w:t>
      </w:r>
      <w:r>
        <w:rPr>
          <w:lang w:val="en-US"/>
        </w:rPr>
        <w:t xml:space="preserve"> </w:t>
      </w:r>
      <w:proofErr w:type="gramStart"/>
      <w:r w:rsidRPr="00165717">
        <w:rPr>
          <w:i/>
          <w:lang w:val="en-US"/>
        </w:rPr>
        <w:t>process</w:t>
      </w:r>
      <w:proofErr w:type="gramEnd"/>
      <w:r w:rsidR="00293659">
        <w:rPr>
          <w:lang w:val="en-US"/>
        </w:rPr>
        <w:t xml:space="preserve"> </w:t>
      </w:r>
    </w:p>
    <w:sectPr w:rsidR="00561F4B" w:rsidRPr="00901235" w:rsidSect="00C84CDD">
      <w:headerReference w:type="default" r:id="rId10"/>
      <w:footerReference w:type="default" r:id="rId11"/>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AA4C" w14:textId="77777777" w:rsidR="00CC6AEB" w:rsidRDefault="00CC6AEB" w:rsidP="00943A78">
      <w:pPr>
        <w:spacing w:after="0" w:line="240" w:lineRule="auto"/>
      </w:pPr>
      <w:r>
        <w:separator/>
      </w:r>
    </w:p>
  </w:endnote>
  <w:endnote w:type="continuationSeparator" w:id="0">
    <w:p w14:paraId="404AAA3E" w14:textId="77777777" w:rsidR="00CC6AEB" w:rsidRDefault="00CC6AEB" w:rsidP="00943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BE25" w14:textId="3FE6B866" w:rsidR="009C1F6C" w:rsidRDefault="009C1F6C" w:rsidP="009C1F6C">
    <w:pPr>
      <w:pStyle w:val="Footer"/>
      <w:ind w:left="-426" w:right="-448"/>
      <w:rPr>
        <w:b/>
        <w:i/>
      </w:rPr>
    </w:pPr>
    <w:r>
      <w:rPr>
        <w:sz w:val="20"/>
        <w:szCs w:val="20"/>
      </w:rPr>
      <w:t xml:space="preserve">         </w:t>
    </w:r>
  </w:p>
  <w:p w14:paraId="4949BCD1" w14:textId="749AC501" w:rsidR="009C1F6C" w:rsidRDefault="009C1F6C" w:rsidP="00F623C9">
    <w:pPr>
      <w:pStyle w:val="Footer"/>
      <w:ind w:right="-448"/>
      <w:rPr>
        <w:sz w:val="20"/>
        <w:szCs w:val="20"/>
      </w:rPr>
    </w:pPr>
    <w:r>
      <w:rPr>
        <w:sz w:val="20"/>
        <w:szCs w:val="20"/>
      </w:rPr>
      <w:t xml:space="preserve">Legal Explanation and Compliance Methodology </w:t>
    </w:r>
    <w:proofErr w:type="spellStart"/>
    <w:r>
      <w:rPr>
        <w:sz w:val="20"/>
        <w:szCs w:val="20"/>
      </w:rPr>
      <w:t>ver</w:t>
    </w:r>
    <w:proofErr w:type="spellEnd"/>
    <w:r>
      <w:rPr>
        <w:sz w:val="20"/>
        <w:szCs w:val="20"/>
      </w:rPr>
      <w:t xml:space="preserve"> 1.1 6 July 2023</w:t>
    </w:r>
  </w:p>
  <w:p w14:paraId="2CDD8135" w14:textId="77777777" w:rsidR="009C1F6C" w:rsidRDefault="009C1F6C" w:rsidP="009C1F6C">
    <w:pPr>
      <w:tabs>
        <w:tab w:val="center" w:pos="4513"/>
        <w:tab w:val="right" w:pos="9026"/>
      </w:tabs>
      <w:spacing w:after="0" w:line="240" w:lineRule="auto"/>
      <w:jc w:val="both"/>
      <w:rPr>
        <w:b/>
        <w:i/>
      </w:rPr>
    </w:pPr>
  </w:p>
  <w:p w14:paraId="649E04AD" w14:textId="77777777" w:rsidR="009C1F6C" w:rsidRDefault="009C1F6C" w:rsidP="00C84CDD">
    <w:pPr>
      <w:pStyle w:val="Footer"/>
      <w:ind w:left="-426" w:right="-4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F3BC" w14:textId="77777777" w:rsidR="00CC6AEB" w:rsidRDefault="00CC6AEB" w:rsidP="00943A78">
      <w:pPr>
        <w:spacing w:after="0" w:line="240" w:lineRule="auto"/>
      </w:pPr>
      <w:r>
        <w:separator/>
      </w:r>
    </w:p>
  </w:footnote>
  <w:footnote w:type="continuationSeparator" w:id="0">
    <w:p w14:paraId="2471A4CE" w14:textId="77777777" w:rsidR="00CC6AEB" w:rsidRDefault="00CC6AEB" w:rsidP="00943A78">
      <w:pPr>
        <w:spacing w:after="0" w:line="240" w:lineRule="auto"/>
      </w:pPr>
      <w:r>
        <w:continuationSeparator/>
      </w:r>
    </w:p>
  </w:footnote>
  <w:footnote w:id="1">
    <w:p w14:paraId="016F92F4" w14:textId="77777777" w:rsidR="005E1E54" w:rsidRDefault="005E1E54">
      <w:pPr>
        <w:pStyle w:val="FootnoteText"/>
      </w:pPr>
      <w:r>
        <w:rPr>
          <w:rStyle w:val="FootnoteReference"/>
        </w:rPr>
        <w:footnoteRef/>
      </w:r>
      <w:r>
        <w:t xml:space="preserve"> </w:t>
      </w:r>
      <w:r w:rsidRPr="005E1E54">
        <w:t>Re-export definition in 15 CFR 734.14; Transfer (in country) definition in 15 CFR 734.16</w:t>
      </w:r>
    </w:p>
  </w:footnote>
  <w:footnote w:id="2">
    <w:p w14:paraId="30654BB8" w14:textId="77777777" w:rsidR="00D20031" w:rsidRDefault="00D20031" w:rsidP="00D20031">
      <w:pPr>
        <w:pStyle w:val="FootnoteText"/>
      </w:pPr>
      <w:r>
        <w:rPr>
          <w:rStyle w:val="FootnoteReference"/>
        </w:rPr>
        <w:footnoteRef/>
      </w:r>
      <w:r>
        <w:t xml:space="preserve"> Part </w:t>
      </w:r>
      <w:r w:rsidRPr="00AE28B5">
        <w:t>734.14</w:t>
      </w:r>
      <w:r>
        <w:t xml:space="preserve"> (a)(1)</w:t>
      </w:r>
    </w:p>
  </w:footnote>
  <w:footnote w:id="3">
    <w:p w14:paraId="3916AAB6" w14:textId="5072C841" w:rsidR="000E1829" w:rsidRDefault="000E1829">
      <w:pPr>
        <w:pStyle w:val="FootnoteText"/>
      </w:pPr>
      <w:r>
        <w:rPr>
          <w:rStyle w:val="FootnoteReference"/>
        </w:rPr>
        <w:footnoteRef/>
      </w:r>
      <w:r w:rsidR="003D03BD">
        <w:t>If</w:t>
      </w:r>
      <w:r>
        <w:t xml:space="preserve"> you send a machine physically somewhere but there is no change in end use/user there is no re-export (</w:t>
      </w:r>
      <w:proofErr w:type="spellStart"/>
      <w:r>
        <w:t>e</w:t>
      </w:r>
      <w:r w:rsidR="00AC28DE">
        <w:t>g</w:t>
      </w:r>
      <w:proofErr w:type="spellEnd"/>
      <w:r>
        <w:t xml:space="preserve"> </w:t>
      </w:r>
      <w:r w:rsidR="00AC28DE">
        <w:t xml:space="preserve">sending a machine to another </w:t>
      </w:r>
      <w:r w:rsidR="007520FB">
        <w:t xml:space="preserve">place </w:t>
      </w:r>
      <w:r w:rsidR="00AC28DE">
        <w:t xml:space="preserve">in the UK </w:t>
      </w:r>
      <w:r w:rsidR="00256D14">
        <w:t xml:space="preserve">of that university </w:t>
      </w:r>
      <w:r>
        <w:t>for maintenance</w:t>
      </w:r>
      <w:r w:rsidR="007520FB">
        <w:t xml:space="preserve">; by contrast sending to another university </w:t>
      </w:r>
      <w:r w:rsidR="00256D14">
        <w:t xml:space="preserve">or other end user would be a transfer (in-country) and may require an EAR authorization depending on how the machine was originally received, </w:t>
      </w:r>
      <w:proofErr w:type="spellStart"/>
      <w:r w:rsidR="00256D14">
        <w:t>eg</w:t>
      </w:r>
      <w:proofErr w:type="spellEnd"/>
      <w:r w:rsidR="00256D14">
        <w:t xml:space="preserve"> as if the machine was received under a BIS license</w:t>
      </w:r>
      <w:r>
        <w:t>)</w:t>
      </w:r>
    </w:p>
  </w:footnote>
  <w:footnote w:id="4">
    <w:p w14:paraId="359FD76E" w14:textId="075050F8" w:rsidR="00A156BB" w:rsidRDefault="00A156BB" w:rsidP="00A156BB">
      <w:pPr>
        <w:pStyle w:val="FootnoteText"/>
      </w:pPr>
      <w:r>
        <w:rPr>
          <w:rStyle w:val="FootnoteReference"/>
        </w:rPr>
        <w:footnoteRef/>
      </w:r>
      <w:r>
        <w:t xml:space="preserve"> </w:t>
      </w:r>
      <w:r w:rsidR="00FD5D1A">
        <w:t>15 CFR</w:t>
      </w:r>
      <w:r>
        <w:t xml:space="preserve"> 734.14 (a)(2</w:t>
      </w:r>
      <w:r w:rsidRPr="0030724D">
        <w:t>)</w:t>
      </w:r>
      <w:r>
        <w:t xml:space="preserve"> and (3)(b)</w:t>
      </w:r>
    </w:p>
  </w:footnote>
  <w:footnote w:id="5">
    <w:p w14:paraId="501867E2" w14:textId="2F3EE554" w:rsidR="00CE0C82" w:rsidRDefault="00CE0C82" w:rsidP="00CE0C82">
      <w:pPr>
        <w:pStyle w:val="FootnoteText"/>
      </w:pPr>
      <w:r>
        <w:rPr>
          <w:rStyle w:val="FootnoteReference"/>
        </w:rPr>
        <w:footnoteRef/>
      </w:r>
      <w:r>
        <w:t xml:space="preserve"> </w:t>
      </w:r>
      <w:r w:rsidR="00FD5D1A">
        <w:t>15 CFR</w:t>
      </w:r>
      <w:r>
        <w:t xml:space="preserve"> </w:t>
      </w:r>
      <w:r w:rsidRPr="00E31E84">
        <w:t>734.14</w:t>
      </w:r>
      <w:r>
        <w:t>(b)</w:t>
      </w:r>
    </w:p>
  </w:footnote>
  <w:footnote w:id="6">
    <w:p w14:paraId="53562989" w14:textId="77777777" w:rsidR="00325517" w:rsidRDefault="00325517">
      <w:pPr>
        <w:pStyle w:val="FootnoteText"/>
      </w:pPr>
      <w:r>
        <w:rPr>
          <w:rStyle w:val="FootnoteReference"/>
        </w:rPr>
        <w:footnoteRef/>
      </w:r>
      <w:r>
        <w:t xml:space="preserve"> This could be </w:t>
      </w:r>
      <w:r w:rsidR="00A156BB">
        <w:t xml:space="preserve">addressed through </w:t>
      </w:r>
      <w:r>
        <w:t xml:space="preserve">an enhanced security check – see the </w:t>
      </w:r>
      <w:r w:rsidR="00C9519F">
        <w:t xml:space="preserve">BIS guidance in 2013 and the US-UK </w:t>
      </w:r>
      <w:r>
        <w:t xml:space="preserve">Exchange of Notes.  </w:t>
      </w:r>
      <w:proofErr w:type="gramStart"/>
      <w:r w:rsidR="00C9519F">
        <w:t>Alternatively</w:t>
      </w:r>
      <w:proofErr w:type="gramEnd"/>
      <w:r w:rsidR="00C9519F">
        <w:t xml:space="preserve"> a self-</w:t>
      </w:r>
      <w:r>
        <w:t xml:space="preserve">compliance procedure </w:t>
      </w:r>
      <w:r w:rsidR="00C9519F">
        <w:t xml:space="preserve">can allows </w:t>
      </w:r>
      <w:r>
        <w:t xml:space="preserve">access </w:t>
      </w:r>
      <w:r w:rsidR="00C9519F">
        <w:t xml:space="preserve">through the importer </w:t>
      </w:r>
      <w:r>
        <w:t xml:space="preserve">monitoring </w:t>
      </w:r>
      <w:r w:rsidR="00C9519F">
        <w:t xml:space="preserve">the user’s </w:t>
      </w:r>
      <w:r>
        <w:t xml:space="preserve">contacts with the home country – if they go </w:t>
      </w:r>
      <w:r w:rsidR="00C9519F">
        <w:t xml:space="preserve">to </w:t>
      </w:r>
      <w:r>
        <w:t>or are engaged in transactions with</w:t>
      </w:r>
      <w:r w:rsidR="00C9519F">
        <w:t xml:space="preserve"> the home country</w:t>
      </w:r>
      <w:r>
        <w:t>.</w:t>
      </w:r>
    </w:p>
  </w:footnote>
  <w:footnote w:id="7">
    <w:p w14:paraId="7D980AA2" w14:textId="77777777" w:rsidR="007520FB" w:rsidRPr="00D0247B" w:rsidRDefault="007520FB" w:rsidP="007520FB">
      <w:pPr>
        <w:pStyle w:val="FootnoteText"/>
      </w:pPr>
      <w:r>
        <w:rPr>
          <w:rStyle w:val="FootnoteReference"/>
        </w:rPr>
        <w:footnoteRef/>
      </w:r>
      <w:r>
        <w:t xml:space="preserve"> The 10 General Prohibitions are set out in the Export Control Reform Act (ECRA). </w:t>
      </w:r>
      <w:r w:rsidRPr="00D0247B">
        <w:rPr>
          <w:i/>
          <w:iCs/>
        </w:rPr>
        <w:t xml:space="preserve">See also </w:t>
      </w:r>
      <w:r w:rsidRPr="00D0247B">
        <w:t>EAR Part 736. General Prohibitions 5 and 6. are implemented by the EAR part 744 and Part 746 respectively. (General Prohi</w:t>
      </w:r>
      <w:r>
        <w:t>bi</w:t>
      </w:r>
      <w:r w:rsidRPr="00D0247B">
        <w:t xml:space="preserve">tion 7 is a </w:t>
      </w:r>
      <w:proofErr w:type="gramStart"/>
      <w:r w:rsidRPr="00D0247B">
        <w:t>U.S. person activity prohibitions</w:t>
      </w:r>
      <w:proofErr w:type="gramEnd"/>
      <w:r w:rsidRPr="00D0247B">
        <w:t>, so likely do not apply to the UK</w:t>
      </w:r>
      <w:r>
        <w:t>, unless there are U.S. persons working at your organization and the U.S. person has “knowledge” the activity they are involved with is prohibited under 15 CFR 744.6</w:t>
      </w:r>
      <w:r w:rsidRPr="00D0247B">
        <w:t xml:space="preserve">.) </w:t>
      </w:r>
    </w:p>
  </w:footnote>
  <w:footnote w:id="8">
    <w:p w14:paraId="73E7E37D" w14:textId="77777777" w:rsidR="006A28B4" w:rsidRDefault="006A28B4" w:rsidP="006A28B4">
      <w:pPr>
        <w:pStyle w:val="FootnoteText"/>
      </w:pPr>
      <w:r>
        <w:rPr>
          <w:rStyle w:val="FootnoteReference"/>
        </w:rPr>
        <w:footnoteRef/>
      </w:r>
      <w:r>
        <w:t xml:space="preserve"> “</w:t>
      </w:r>
      <w:r w:rsidRPr="00DF3324">
        <w:t>A key in determining whether a re-export license is needed from the Department of Commerce is knowing whether the item you intend to export has a specific Export Control Classification Number (ECCN). The ECCN is an alpha-numeric code, e.g., 3A001, that describes the item and indicates licensing requirements. All ECCNs are listed in the Commerce Control List (CCL) (Supplement No. 1 to Part 774 of the EAR</w:t>
      </w:r>
      <w:r>
        <w:t xml:space="preserve">” - </w:t>
      </w:r>
      <w:r w:rsidRPr="00DF3324">
        <w:t xml:space="preserve"> </w:t>
      </w:r>
      <w:hyperlink r:id="rId1" w:history="1">
        <w:r w:rsidRPr="00125C0E">
          <w:rPr>
            <w:rStyle w:val="Hyperlink"/>
          </w:rPr>
          <w:t>https://www.bis.doc.gov/index.php/regulations/commerce-control-list-ccl</w:t>
        </w:r>
      </w:hyperlink>
      <w:r>
        <w:t>.</w:t>
      </w:r>
    </w:p>
  </w:footnote>
  <w:footnote w:id="9">
    <w:p w14:paraId="0B454F7A" w14:textId="0549282B" w:rsidR="00460522" w:rsidRDefault="00A156BB" w:rsidP="00A156BB">
      <w:pPr>
        <w:pStyle w:val="FootnoteText"/>
      </w:pPr>
      <w:r>
        <w:rPr>
          <w:rStyle w:val="FootnoteReference"/>
        </w:rPr>
        <w:footnoteRef/>
      </w:r>
      <w:r>
        <w:t xml:space="preserve"> </w:t>
      </w:r>
      <w:r w:rsidR="00460522">
        <w:t xml:space="preserve">Unless they have obtained US ‘protected person’ status </w:t>
      </w:r>
      <w:proofErr w:type="spellStart"/>
      <w:r w:rsidR="00460522">
        <w:t>e.g</w:t>
      </w:r>
      <w:proofErr w:type="spellEnd"/>
      <w:r w:rsidR="00460522">
        <w:t xml:space="preserve"> </w:t>
      </w:r>
      <w:r w:rsidR="00460522" w:rsidRPr="00033491">
        <w:t>political refugees and political asylum holders.</w:t>
      </w:r>
      <w:r w:rsidR="00460522">
        <w:t xml:space="preserve">  Embargoed countries </w:t>
      </w:r>
      <w:r w:rsidR="00460522" w:rsidRPr="00CE0C82">
        <w:t xml:space="preserve">are often listed on end user declarations as Cuba, Iran, North Korea, and Syria, and the Crimea region of Ukraine.  </w:t>
      </w:r>
      <w:r w:rsidR="00460522">
        <w:t xml:space="preserve">Why then do the deemed re-export restrictions </w:t>
      </w:r>
      <w:r w:rsidR="00AC28DE">
        <w:t xml:space="preserve">for EAR99 technology </w:t>
      </w:r>
      <w:r w:rsidR="00460522">
        <w:t xml:space="preserve">only apply to N Korea?  </w:t>
      </w:r>
    </w:p>
    <w:p w14:paraId="7D06C426" w14:textId="193B28AC" w:rsidR="00460522" w:rsidRPr="00DC5ABE" w:rsidRDefault="00460522" w:rsidP="00A156BB">
      <w:pPr>
        <w:pStyle w:val="FootnoteText"/>
        <w:rPr>
          <w:color w:val="FF0000"/>
        </w:rPr>
      </w:pPr>
      <w:r>
        <w:t xml:space="preserve">1. </w:t>
      </w:r>
      <w:r w:rsidRPr="00CE0C82">
        <w:t xml:space="preserve"> the EAR </w:t>
      </w:r>
      <w:r w:rsidRPr="00460522">
        <w:rPr>
          <w:i/>
          <w:u w:val="single"/>
        </w:rPr>
        <w:t>destination-based licence requirements for deemed re-exports</w:t>
      </w:r>
      <w:r w:rsidRPr="00CE0C82">
        <w:t xml:space="preserve"> of </w:t>
      </w:r>
      <w:r w:rsidRPr="00D46BF3">
        <w:rPr>
          <w:u w:val="single"/>
        </w:rPr>
        <w:t>EAR99 equipment</w:t>
      </w:r>
      <w:r w:rsidRPr="00CE0C82">
        <w:t xml:space="preserve"> subject to the part 744 end use and end-user checks, including the Entity List screening checks, do not extend to releases of technology or source code (see para 15 b above) to Iranian, </w:t>
      </w:r>
      <w:r w:rsidR="00D46BF3" w:rsidRPr="00CE0C82">
        <w:t>Cuban, an</w:t>
      </w:r>
      <w:r w:rsidR="00D46BF3">
        <w:t xml:space="preserve">d Syrian nationals.  </w:t>
      </w:r>
      <w:proofErr w:type="gramStart"/>
      <w:r w:rsidR="00D46BF3">
        <w:t>However</w:t>
      </w:r>
      <w:proofErr w:type="gramEnd"/>
      <w:r w:rsidR="00D46BF3">
        <w:t xml:space="preserve"> if the equipment is </w:t>
      </w:r>
      <w:r w:rsidR="00D46BF3" w:rsidRPr="00D642C8">
        <w:rPr>
          <w:u w:val="single"/>
        </w:rPr>
        <w:t>not</w:t>
      </w:r>
      <w:r w:rsidR="00D46BF3">
        <w:t xml:space="preserve"> EAR99 and </w:t>
      </w:r>
      <w:r w:rsidR="00D46BF3" w:rsidRPr="00D642C8">
        <w:rPr>
          <w:u w:val="single"/>
        </w:rPr>
        <w:t>is</w:t>
      </w:r>
      <w:r w:rsidR="00D46BF3">
        <w:t xml:space="preserve"> controlled for Anti-Terrorism (AT) </w:t>
      </w:r>
      <w:r w:rsidR="00AC28DE">
        <w:t xml:space="preserve">or any other ECCN controls </w:t>
      </w:r>
      <w:r w:rsidR="00D46BF3">
        <w:t>then restrictions do apply to those nationals</w:t>
      </w:r>
      <w:r w:rsidR="00D642C8">
        <w:t xml:space="preserve"> – see paragraph </w:t>
      </w:r>
      <w:r w:rsidR="00D642C8">
        <w:fldChar w:fldCharType="begin"/>
      </w:r>
      <w:r w:rsidR="00D642C8">
        <w:instrText xml:space="preserve"> REF _Ref137052959 \r \h </w:instrText>
      </w:r>
      <w:r w:rsidR="00D642C8">
        <w:fldChar w:fldCharType="separate"/>
      </w:r>
      <w:r w:rsidR="00D642C8">
        <w:t>6</w:t>
      </w:r>
      <w:r w:rsidR="00D642C8">
        <w:fldChar w:fldCharType="end"/>
      </w:r>
      <w:r w:rsidR="00D46BF3">
        <w:t xml:space="preserve">.  </w:t>
      </w:r>
      <w:r>
        <w:t xml:space="preserve">  </w:t>
      </w:r>
    </w:p>
    <w:p w14:paraId="079FD4ED" w14:textId="0D94130C" w:rsidR="00460522" w:rsidRDefault="00460522" w:rsidP="00A156BB">
      <w:pPr>
        <w:pStyle w:val="FootnoteText"/>
      </w:pPr>
      <w:r>
        <w:t>2. t</w:t>
      </w:r>
      <w:r w:rsidRPr="00CE0C82">
        <w:t>he embargo controls and so licence requirements remain in place for releases of technology or source code to nationals from North Korea</w:t>
      </w:r>
      <w:r w:rsidR="00A05FB2">
        <w:t xml:space="preserve"> (see </w:t>
      </w:r>
      <w:r w:rsidR="00A03F1C" w:rsidRPr="00994F65">
        <w:t>§</w:t>
      </w:r>
      <w:r w:rsidR="00A05FB2" w:rsidRPr="00A05FB2">
        <w:t xml:space="preserve"> 746.4(a)</w:t>
      </w:r>
      <w:r w:rsidR="00A03F1C">
        <w:t xml:space="preserve"> of the EAR</w:t>
      </w:r>
      <w:r w:rsidR="00A05FB2">
        <w:t>)</w:t>
      </w:r>
      <w:r w:rsidRPr="00CE0C82">
        <w:t xml:space="preserve">.  </w:t>
      </w:r>
    </w:p>
    <w:p w14:paraId="19B849F6" w14:textId="671A046A" w:rsidR="00460522" w:rsidRPr="00DC5ABE" w:rsidRDefault="00460522" w:rsidP="00A156BB">
      <w:pPr>
        <w:pStyle w:val="FootnoteText"/>
        <w:rPr>
          <w:color w:val="FF0000"/>
        </w:rPr>
      </w:pPr>
      <w:r>
        <w:t>3. f</w:t>
      </w:r>
      <w:r w:rsidRPr="00CE0C82">
        <w:t>or the Crimea region of Ukraine</w:t>
      </w:r>
      <w:r w:rsidR="00FD5D1A">
        <w:t>, the Donetsk People’s Republic, and Luhansk People’s Republic</w:t>
      </w:r>
      <w:r w:rsidRPr="00CE0C82">
        <w:t>,</w:t>
      </w:r>
      <w:r w:rsidR="008B285F" w:rsidRPr="008B285F">
        <w:t xml:space="preserve"> </w:t>
      </w:r>
      <w:r w:rsidR="006370AD">
        <w:t xml:space="preserve">as noted above, </w:t>
      </w:r>
      <w:r w:rsidRPr="00CE0C82">
        <w:t xml:space="preserve">BIS uses Ukraine as the country for determining </w:t>
      </w:r>
      <w:proofErr w:type="gramStart"/>
      <w:r w:rsidRPr="00CE0C82">
        <w:t>these deemed export</w:t>
      </w:r>
      <w:proofErr w:type="gramEnd"/>
      <w:r w:rsidRPr="00CE0C82">
        <w:t xml:space="preserve"> </w:t>
      </w:r>
      <w:r w:rsidR="00FD5D1A">
        <w:t xml:space="preserve">and reexport </w:t>
      </w:r>
      <w:r w:rsidRPr="00CE0C82">
        <w:t xml:space="preserve">requirements.  </w:t>
      </w:r>
      <w:r w:rsidR="00925B91">
        <w:t xml:space="preserve">15 CFR </w:t>
      </w:r>
      <w:r w:rsidR="00623ECB">
        <w:t>746.6 of the EAR - Crimea Region of Ukraine and Covered Regions of Ukraine)</w:t>
      </w:r>
      <w:r w:rsidR="001421B6">
        <w:t xml:space="preserve">  </w:t>
      </w:r>
    </w:p>
    <w:p w14:paraId="4DFA2F3E" w14:textId="61970DF8" w:rsidR="00460522" w:rsidRPr="00E7510E" w:rsidRDefault="00460522" w:rsidP="00A156BB">
      <w:pPr>
        <w:pStyle w:val="FootnoteText"/>
        <w:rPr>
          <w:color w:val="FF0000"/>
        </w:rPr>
      </w:pPr>
      <w:r>
        <w:t xml:space="preserve">4. Russian </w:t>
      </w:r>
      <w:r w:rsidR="00AC28DE">
        <w:t xml:space="preserve">and Belarus </w:t>
      </w:r>
      <w:r>
        <w:t>sanctions apply to i</w:t>
      </w:r>
      <w:r w:rsidR="00A156BB" w:rsidRPr="00994F65">
        <w:t>tems classified in any ECCN on the CCL</w:t>
      </w:r>
      <w:r w:rsidR="006370AD">
        <w:t xml:space="preserve"> under </w:t>
      </w:r>
      <w:r w:rsidR="006370AD" w:rsidRPr="00994F65">
        <w:t>§ 746.</w:t>
      </w:r>
      <w:r w:rsidR="006370AD">
        <w:t>8</w:t>
      </w:r>
      <w:r w:rsidR="00A03F1C">
        <w:t xml:space="preserve"> of the EAR</w:t>
      </w:r>
      <w:r w:rsidR="00A156BB" w:rsidRPr="00994F65">
        <w:t xml:space="preserve">. </w:t>
      </w:r>
      <w:r>
        <w:t xml:space="preserve">However whilst such </w:t>
      </w:r>
      <w:r w:rsidR="00A156BB" w:rsidRPr="00994F65">
        <w:t xml:space="preserve">license requirements specified on the Commerce Control List (CCL) in supplement no. 1 to part 774 of the EAR, </w:t>
      </w:r>
      <w:r>
        <w:t xml:space="preserve">say that </w:t>
      </w:r>
      <w:r w:rsidR="00A156BB" w:rsidRPr="00994F65">
        <w:rPr>
          <w:i/>
        </w:rPr>
        <w:t>a license is required</w:t>
      </w:r>
      <w:r w:rsidRPr="00460522">
        <w:t xml:space="preserve"> </w:t>
      </w:r>
      <w:r w:rsidRPr="00994F65">
        <w:t>to export, reexport, or transfer (in-country) to or within Russia or Belarus any item subject to the EAR and specified in any Export Control Classif</w:t>
      </w:r>
      <w:r>
        <w:t>ication Number (ECCN) on the CC</w:t>
      </w:r>
      <w:r w:rsidR="00AC28DE">
        <w:t>L</w:t>
      </w:r>
      <w:r>
        <w:t xml:space="preserve">; </w:t>
      </w:r>
      <w:r w:rsidRPr="00A05FB2">
        <w:rPr>
          <w:i/>
          <w:u w:val="single"/>
        </w:rPr>
        <w:t>this excludes</w:t>
      </w:r>
      <w:r w:rsidR="00A156BB" w:rsidRPr="00A05FB2">
        <w:rPr>
          <w:i/>
          <w:u w:val="single"/>
        </w:rPr>
        <w:t xml:space="preserve"> deemed exports and deemed reexports</w:t>
      </w:r>
      <w:r w:rsidR="00A156BB" w:rsidRPr="00994F65">
        <w:t>, to export, reexport, or transfer (in-country) to or within Russia or Belarus any item subject to the EAR and specified in any Export Control Classification Number (ECCN) on the CCL</w:t>
      </w:r>
      <w:r w:rsidR="00AC28DE">
        <w:t>.</w:t>
      </w:r>
      <w:r w:rsidR="006370AD">
        <w:t xml:space="preserve">  The EAR imposes additional license requirements on Russia and Belarus under </w:t>
      </w:r>
      <w:r w:rsidR="006370AD" w:rsidRPr="00994F65">
        <w:t>§§</w:t>
      </w:r>
      <w:r w:rsidR="006370AD">
        <w:t xml:space="preserve"> 746.5 and 746.10 </w:t>
      </w:r>
      <w:r w:rsidR="005D130E">
        <w:t xml:space="preserve">of the EAR </w:t>
      </w:r>
      <w:r w:rsidR="006370AD">
        <w:t xml:space="preserve">for items that would otherwise be EAR99, but </w:t>
      </w:r>
      <w:r w:rsidR="006370AD" w:rsidRPr="00994F65">
        <w:t>§</w:t>
      </w:r>
      <w:r w:rsidR="006370AD">
        <w:t xml:space="preserve"> 746.5 </w:t>
      </w:r>
      <w:r w:rsidR="00A03F1C">
        <w:t xml:space="preserve">of the EAR </w:t>
      </w:r>
      <w:r w:rsidR="006370AD">
        <w:t xml:space="preserve">also includes an exclusion for deemed reexports and </w:t>
      </w:r>
      <w:r w:rsidR="006370AD" w:rsidRPr="00994F65">
        <w:t>§</w:t>
      </w:r>
      <w:r w:rsidR="006370AD">
        <w:t xml:space="preserve"> 746.10 </w:t>
      </w:r>
      <w:r w:rsidR="00A03F1C">
        <w:t xml:space="preserve">of the EAR </w:t>
      </w:r>
      <w:r w:rsidR="006370AD">
        <w:t>does not currently include technology</w:t>
      </w:r>
      <w:r w:rsidR="00A03F1C">
        <w:t>.</w:t>
      </w:r>
    </w:p>
    <w:p w14:paraId="11F3454D" w14:textId="6296BAF5" w:rsidR="00A156BB" w:rsidRPr="00D0247B" w:rsidRDefault="00460522" w:rsidP="00A156BB">
      <w:pPr>
        <w:pStyle w:val="FootnoteText"/>
      </w:pPr>
      <w:proofErr w:type="gramStart"/>
      <w:r w:rsidRPr="00A05FB2">
        <w:rPr>
          <w:b/>
        </w:rPr>
        <w:t>Therefore</w:t>
      </w:r>
      <w:proofErr w:type="gramEnd"/>
      <w:r w:rsidRPr="00A05FB2">
        <w:rPr>
          <w:b/>
        </w:rPr>
        <w:t xml:space="preserve"> in practice the </w:t>
      </w:r>
      <w:r>
        <w:rPr>
          <w:b/>
        </w:rPr>
        <w:t xml:space="preserve">deemed re-export </w:t>
      </w:r>
      <w:r w:rsidRPr="00A05FB2">
        <w:rPr>
          <w:b/>
        </w:rPr>
        <w:t xml:space="preserve">controls </w:t>
      </w:r>
      <w:r w:rsidR="00091100">
        <w:rPr>
          <w:b/>
        </w:rPr>
        <w:t xml:space="preserve">for EAR99 </w:t>
      </w:r>
      <w:r w:rsidR="00FD5D1A">
        <w:rPr>
          <w:b/>
        </w:rPr>
        <w:t>technology</w:t>
      </w:r>
      <w:r w:rsidR="00091100">
        <w:rPr>
          <w:b/>
        </w:rPr>
        <w:t xml:space="preserve"> </w:t>
      </w:r>
      <w:r w:rsidR="00FD5D1A">
        <w:rPr>
          <w:b/>
        </w:rPr>
        <w:t xml:space="preserve">or source code </w:t>
      </w:r>
      <w:r w:rsidR="00091100">
        <w:rPr>
          <w:b/>
        </w:rPr>
        <w:t xml:space="preserve">that require a license </w:t>
      </w:r>
      <w:r w:rsidRPr="00A05FB2">
        <w:rPr>
          <w:b/>
        </w:rPr>
        <w:t>only apply to North Korea</w:t>
      </w:r>
      <w:r w:rsidR="008B285F" w:rsidRPr="00D0247B">
        <w:rPr>
          <w:b/>
        </w:rPr>
        <w:t xml:space="preserve">. For </w:t>
      </w:r>
      <w:r w:rsidR="00FD5D1A">
        <w:rPr>
          <w:b/>
        </w:rPr>
        <w:t>technology and source code</w:t>
      </w:r>
      <w:r w:rsidR="00623ECB" w:rsidRPr="00D0247B">
        <w:rPr>
          <w:b/>
        </w:rPr>
        <w:t>, which are not EAR99 but are</w:t>
      </w:r>
      <w:r w:rsidR="008B285F" w:rsidRPr="00D0247B">
        <w:rPr>
          <w:b/>
        </w:rPr>
        <w:t xml:space="preserve"> controlled for AT-Reasons</w:t>
      </w:r>
      <w:r w:rsidR="00A3755A">
        <w:rPr>
          <w:b/>
        </w:rPr>
        <w:t xml:space="preserve"> (but not other controls)</w:t>
      </w:r>
      <w:r w:rsidR="00091100">
        <w:rPr>
          <w:b/>
        </w:rPr>
        <w:t xml:space="preserve"> </w:t>
      </w:r>
      <w:r w:rsidR="00A3755A">
        <w:rPr>
          <w:b/>
        </w:rPr>
        <w:t>the deemed re-export restrictions also apply</w:t>
      </w:r>
      <w:r w:rsidR="00BD045E">
        <w:rPr>
          <w:b/>
        </w:rPr>
        <w:t xml:space="preserve"> to</w:t>
      </w:r>
      <w:r w:rsidR="00A3755A">
        <w:rPr>
          <w:b/>
        </w:rPr>
        <w:t xml:space="preserve"> </w:t>
      </w:r>
      <w:r w:rsidR="00E7510E" w:rsidRPr="00D0247B">
        <w:rPr>
          <w:b/>
        </w:rPr>
        <w:t xml:space="preserve">Cuba, Iran, </w:t>
      </w:r>
      <w:r w:rsidR="008B285F" w:rsidRPr="00D0247B">
        <w:rPr>
          <w:b/>
        </w:rPr>
        <w:t xml:space="preserve">and </w:t>
      </w:r>
      <w:r w:rsidR="00E7510E" w:rsidRPr="00D0247B">
        <w:rPr>
          <w:b/>
        </w:rPr>
        <w:t>Syria</w:t>
      </w:r>
      <w:r w:rsidR="00A3755A">
        <w:rPr>
          <w:b/>
        </w:rPr>
        <w:t>.  A</w:t>
      </w:r>
      <w:r w:rsidR="00A03F1C">
        <w:rPr>
          <w:b/>
        </w:rPr>
        <w:t xml:space="preserve">n EAR authorization </w:t>
      </w:r>
      <w:r w:rsidR="00A3755A">
        <w:rPr>
          <w:b/>
        </w:rPr>
        <w:t xml:space="preserve">is required for </w:t>
      </w:r>
      <w:r w:rsidR="00A03F1C">
        <w:rPr>
          <w:b/>
        </w:rPr>
        <w:t xml:space="preserve">deemed re-exports </w:t>
      </w:r>
      <w:r w:rsidR="00A3755A">
        <w:rPr>
          <w:b/>
        </w:rPr>
        <w:t xml:space="preserve">in those circumstances – and of course </w:t>
      </w:r>
      <w:r w:rsidR="00A03F1C">
        <w:rPr>
          <w:b/>
        </w:rPr>
        <w:t xml:space="preserve">for other countries </w:t>
      </w:r>
      <w:r w:rsidR="00A3755A">
        <w:rPr>
          <w:b/>
        </w:rPr>
        <w:t>where there are additional specific ECCN controls</w:t>
      </w:r>
      <w:r w:rsidR="00A03F1C">
        <w:rPr>
          <w:b/>
        </w:rPr>
        <w:t xml:space="preserve">, </w:t>
      </w:r>
      <w:proofErr w:type="spellStart"/>
      <w:proofErr w:type="gramStart"/>
      <w:r w:rsidR="00A03F1C">
        <w:rPr>
          <w:b/>
        </w:rPr>
        <w:t>eg</w:t>
      </w:r>
      <w:proofErr w:type="spellEnd"/>
      <w:proofErr w:type="gramEnd"/>
      <w:r w:rsidR="00A03F1C">
        <w:rPr>
          <w:b/>
        </w:rPr>
        <w:t xml:space="preserve"> for Missile Technology controlled technology or source code</w:t>
      </w:r>
      <w:r w:rsidR="008B285F" w:rsidRPr="00D0247B">
        <w:rPr>
          <w:b/>
        </w:rPr>
        <w:t xml:space="preserve">. </w:t>
      </w:r>
    </w:p>
  </w:footnote>
  <w:footnote w:id="10">
    <w:p w14:paraId="3CB66467" w14:textId="11A6FE43" w:rsidR="00C84CDD" w:rsidRDefault="00A156BB" w:rsidP="00A156BB">
      <w:pPr>
        <w:pStyle w:val="FootnoteText"/>
      </w:pPr>
      <w:r>
        <w:rPr>
          <w:rStyle w:val="FootnoteReference"/>
        </w:rPr>
        <w:footnoteRef/>
      </w:r>
      <w:r>
        <w:t xml:space="preserve"> T</w:t>
      </w:r>
      <w:r w:rsidRPr="00635A9C">
        <w:t>he Entity List includes various entities</w:t>
      </w:r>
      <w:r>
        <w:t xml:space="preserve"> added because of WMD reasons. B</w:t>
      </w:r>
      <w:r w:rsidRPr="00635A9C">
        <w:t xml:space="preserve">ut there are </w:t>
      </w:r>
      <w:r>
        <w:t>even more entities on the list</w:t>
      </w:r>
      <w:r w:rsidRPr="00635A9C">
        <w:t xml:space="preserve"> for other reasons that are of concern for other U.S. national security and foreign policy concerns, such as being involved in IED networks that have killed or injured U.S. and allied soldiers</w:t>
      </w:r>
      <w:r w:rsidR="00091100">
        <w:t xml:space="preserve"> or being involved in human rights abuses</w:t>
      </w:r>
      <w:r w:rsidRPr="00635A9C">
        <w:t xml:space="preserve">.  </w:t>
      </w:r>
    </w:p>
  </w:footnote>
  <w:footnote w:id="11">
    <w:p w14:paraId="3C369D8F" w14:textId="77777777" w:rsidR="00CE0C82" w:rsidRDefault="00CE0C82" w:rsidP="00CE0C82">
      <w:pPr>
        <w:pStyle w:val="FootnoteText"/>
      </w:pPr>
      <w:r>
        <w:rPr>
          <w:rStyle w:val="FootnoteReference"/>
        </w:rPr>
        <w:footnoteRef/>
      </w:r>
      <w:r>
        <w:t xml:space="preserve"> Use of a microprocessor for direct military</w:t>
      </w:r>
      <w:r w:rsidR="00C9519F">
        <w:t xml:space="preserve"> use or by a military end user </w:t>
      </w:r>
      <w:r>
        <w:t>includes any person or entity whose actions or functions are intended to support ‘military end uses</w:t>
      </w:r>
      <w:proofErr w:type="gramStart"/>
      <w:r>
        <w:t>’ ;</w:t>
      </w:r>
      <w:proofErr w:type="gramEnd"/>
      <w:r>
        <w:t xml:space="preserve"> the restriction does not apply where use is for or on behalf of the official use by agencies of a cooperating government (</w:t>
      </w:r>
      <w:proofErr w:type="spellStart"/>
      <w:r>
        <w:t>ie</w:t>
      </w:r>
      <w:proofErr w:type="spellEnd"/>
      <w:r>
        <w:t xml:space="preserve"> a Wassenaar participating authority such as the UK)</w:t>
      </w:r>
      <w:r w:rsidR="00F37C87">
        <w:t xml:space="preserve"> </w:t>
      </w:r>
      <w:r w:rsidR="00F37C87" w:rsidRPr="00D0247B">
        <w:t>authorized by License Exception GOV pursuant to EAR 740.11</w:t>
      </w:r>
      <w:r w:rsidRPr="00D0247B">
        <w:t>.</w:t>
      </w:r>
    </w:p>
    <w:p w14:paraId="16473E22" w14:textId="39FCEC51" w:rsidR="00CE0C82" w:rsidRDefault="00CE0C82" w:rsidP="00CE0C82">
      <w:pPr>
        <w:pStyle w:val="FootnoteText"/>
      </w:pPr>
      <w:r>
        <w:t>Part 744 does impose licence requirements and other restrictions for certain specified military end</w:t>
      </w:r>
      <w:r w:rsidR="00C9519F">
        <w:t xml:space="preserve"> uses and/or military end users</w:t>
      </w:r>
      <w:r>
        <w:t xml:space="preserve">, </w:t>
      </w:r>
      <w:r w:rsidRPr="00CE0C82">
        <w:rPr>
          <w:b/>
        </w:rPr>
        <w:t>but these do not include EAR99 designated items except for certain military-intelligence en</w:t>
      </w:r>
      <w:r w:rsidR="00D46BF3">
        <w:rPr>
          <w:b/>
        </w:rPr>
        <w:t>d uses or end users</w:t>
      </w:r>
      <w:r w:rsidR="00256D14">
        <w:rPr>
          <w:b/>
        </w:rPr>
        <w:t xml:space="preserve"> and Russian and Belarusian military end uses and end users</w:t>
      </w:r>
      <w:r>
        <w:t xml:space="preserve">.  </w:t>
      </w:r>
    </w:p>
    <w:p w14:paraId="46276742" w14:textId="0430BFD4" w:rsidR="00CE0C82" w:rsidRPr="00D0247B" w:rsidRDefault="00CE0C82" w:rsidP="00CE0C82">
      <w:pPr>
        <w:pStyle w:val="FootnoteText"/>
      </w:pPr>
      <w:r>
        <w:t xml:space="preserve">Allowing a UK defence contractor to use an EAR99 designated piece of equipment would be unlikely to trigger any part 744 end use or end user controls. Due diligence is needed but </w:t>
      </w:r>
      <w:r w:rsidR="00091100">
        <w:t xml:space="preserve">part </w:t>
      </w:r>
      <w:r>
        <w:t xml:space="preserve">744 </w:t>
      </w:r>
      <w:r w:rsidR="00A03F1C">
        <w:t xml:space="preserve">of the EAR </w:t>
      </w:r>
      <w:r>
        <w:t>controls are unlikely to apply.</w:t>
      </w:r>
      <w:r w:rsidR="00E7510E">
        <w:t xml:space="preserve"> </w:t>
      </w:r>
      <w:r w:rsidR="00E7510E" w:rsidRPr="00D20031">
        <w:t xml:space="preserve">(Military End Use applies to Supp. No. 2 items, which includes </w:t>
      </w:r>
      <w:r w:rsidR="00091100">
        <w:t xml:space="preserve">many </w:t>
      </w:r>
      <w:r w:rsidR="00E7510E" w:rsidRPr="00D20031">
        <w:t>AT items</w:t>
      </w:r>
      <w:r w:rsidR="008B285F" w:rsidRPr="00D20031">
        <w:t>;</w:t>
      </w:r>
      <w:r w:rsidR="00F37C87" w:rsidRPr="00D20031">
        <w:t xml:space="preserve"> therefore, this restriction applies to items controlled for AT-reasons</w:t>
      </w:r>
      <w:r w:rsidR="00091100">
        <w:t xml:space="preserve"> that are identified in </w:t>
      </w:r>
      <w:r w:rsidR="005D130E" w:rsidRPr="00994F65">
        <w:t>§</w:t>
      </w:r>
      <w:r w:rsidR="005D130E">
        <w:t xml:space="preserve"> </w:t>
      </w:r>
      <w:r w:rsidR="00091100">
        <w:t>744.21</w:t>
      </w:r>
      <w:r w:rsidR="00A03F1C">
        <w:t xml:space="preserve"> of the EAR</w:t>
      </w:r>
      <w:r w:rsidR="00F37C87" w:rsidRPr="00D20031">
        <w:t>.</w:t>
      </w:r>
      <w:r w:rsidR="00D0247B" w:rsidRPr="00D20031">
        <w:t xml:space="preserve">  Note that </w:t>
      </w:r>
      <w:r w:rsidR="00CB3089" w:rsidRPr="00D20031">
        <w:t xml:space="preserve">Russia and Belarus </w:t>
      </w:r>
      <w:r w:rsidR="008B285F" w:rsidRPr="00D20031">
        <w:t>military end use will also apply to EAR99</w:t>
      </w:r>
      <w:r w:rsidR="00091100">
        <w:t xml:space="preserve"> items</w:t>
      </w:r>
      <w:r w:rsidR="00F37C87" w:rsidRPr="00D20031">
        <w:t>.</w:t>
      </w:r>
      <w:r w:rsidR="00D20031">
        <w:t xml:space="preserve">  This </w:t>
      </w:r>
      <w:r w:rsidR="00D20031">
        <w:rPr>
          <w:rFonts w:eastAsia="Times New Roman"/>
          <w:lang w:val="en-US"/>
        </w:rPr>
        <w:t xml:space="preserve">is reflected in the Standard Prohibited End Uses list [insert URL]. The military end use prohibition that applies to EAR99 is captured in item 5. The military end use prohibition that would additionally apply to </w:t>
      </w:r>
      <w:r w:rsidR="00091100">
        <w:rPr>
          <w:rFonts w:eastAsia="Times New Roman"/>
          <w:lang w:val="en-US"/>
        </w:rPr>
        <w:t xml:space="preserve">certain </w:t>
      </w:r>
      <w:r w:rsidR="00D20031">
        <w:rPr>
          <w:rFonts w:eastAsia="Times New Roman"/>
          <w:lang w:val="en-US"/>
        </w:rPr>
        <w:t>AT controlled items (or other non-EAR99 items) is described in Item 6.</w:t>
      </w:r>
      <w:r w:rsidR="00E7510E" w:rsidRPr="00D0247B">
        <w:t xml:space="preserve"> </w:t>
      </w:r>
    </w:p>
  </w:footnote>
  <w:footnote w:id="12">
    <w:p w14:paraId="70B11EB3" w14:textId="4B8F31D4" w:rsidR="00D46BF3" w:rsidRPr="00D0247B" w:rsidRDefault="00D46BF3">
      <w:pPr>
        <w:pStyle w:val="FootnoteText"/>
      </w:pPr>
      <w:r>
        <w:rPr>
          <w:rStyle w:val="FootnoteReference"/>
        </w:rPr>
        <w:footnoteRef/>
      </w:r>
      <w:r>
        <w:t xml:space="preserve"> </w:t>
      </w:r>
      <w:r w:rsidRPr="00D46BF3">
        <w:t xml:space="preserve">EAR </w:t>
      </w:r>
      <w:r w:rsidR="005D130E" w:rsidRPr="00994F65">
        <w:t>§§</w:t>
      </w:r>
      <w:r w:rsidR="005D130E">
        <w:t xml:space="preserve"> </w:t>
      </w:r>
      <w:r w:rsidRPr="00D46BF3">
        <w:t>746.7</w:t>
      </w:r>
      <w:r w:rsidR="00D642C8">
        <w:t xml:space="preserve"> </w:t>
      </w:r>
      <w:r w:rsidR="005D130E">
        <w:t>and 746.2</w:t>
      </w:r>
      <w:r w:rsidR="00D642C8">
        <w:t xml:space="preserve"> - </w:t>
      </w:r>
      <w:r w:rsidR="00D642C8" w:rsidRPr="00D0247B">
        <w:t>Deemed re</w:t>
      </w:r>
      <w:r w:rsidR="00556E37">
        <w:t>-</w:t>
      </w:r>
      <w:r w:rsidR="00D642C8" w:rsidRPr="00D0247B">
        <w:t xml:space="preserve">exports to Syrian, Cuban foreign nationals involving technology or source code subject CCL do not require a license if EAR99. If not EAR99 but controlled for AT </w:t>
      </w:r>
      <w:r w:rsidR="00091100">
        <w:t xml:space="preserve">or any other CCL control, </w:t>
      </w:r>
      <w:proofErr w:type="spellStart"/>
      <w:proofErr w:type="gramStart"/>
      <w:r w:rsidR="00091100">
        <w:t>eg</w:t>
      </w:r>
      <w:proofErr w:type="spellEnd"/>
      <w:proofErr w:type="gramEnd"/>
      <w:r w:rsidR="00091100">
        <w:t xml:space="preserve"> controlled for National Security, </w:t>
      </w:r>
      <w:r w:rsidR="00D642C8" w:rsidRPr="00D0247B">
        <w:t xml:space="preserve">then the restrictions apply. </w:t>
      </w:r>
    </w:p>
  </w:footnote>
  <w:footnote w:id="13">
    <w:p w14:paraId="55F39D0E" w14:textId="77777777" w:rsidR="00A156BB" w:rsidRDefault="00A156BB" w:rsidP="00A156BB">
      <w:pPr>
        <w:pStyle w:val="FootnoteText"/>
      </w:pPr>
      <w:r>
        <w:rPr>
          <w:rStyle w:val="FootnoteReference"/>
        </w:rPr>
        <w:footnoteRef/>
      </w:r>
      <w:r>
        <w:t xml:space="preserve"> See para </w:t>
      </w:r>
      <w:r>
        <w:fldChar w:fldCharType="begin"/>
      </w:r>
      <w:r>
        <w:instrText xml:space="preserve"> REF _Ref92987013 \r \h </w:instrText>
      </w:r>
      <w:r>
        <w:fldChar w:fldCharType="separate"/>
      </w:r>
      <w:r>
        <w:t>7</w:t>
      </w:r>
      <w:r>
        <w:fldChar w:fldCharType="end"/>
      </w:r>
      <w:r>
        <w:t xml:space="preserve"> above, footnote </w:t>
      </w:r>
      <w:proofErr w:type="gramStart"/>
      <w:r>
        <w:t>5</w:t>
      </w:r>
      <w:proofErr w:type="gramEnd"/>
    </w:p>
  </w:footnote>
  <w:footnote w:id="14">
    <w:p w14:paraId="7DDD0ECE" w14:textId="4F777046" w:rsidR="00D0247B" w:rsidRDefault="00D0247B">
      <w:pPr>
        <w:pStyle w:val="FootnoteText"/>
      </w:pPr>
      <w:r>
        <w:rPr>
          <w:rStyle w:val="FootnoteReference"/>
        </w:rPr>
        <w:footnoteRef/>
      </w:r>
      <w:r>
        <w:t xml:space="preserve"> </w:t>
      </w:r>
      <w:r w:rsidRPr="00D0247B">
        <w:t xml:space="preserve">See EAR </w:t>
      </w:r>
      <w:r w:rsidR="005D130E" w:rsidRPr="00994F65">
        <w:t>§</w:t>
      </w:r>
      <w:r w:rsidR="005D130E">
        <w:t xml:space="preserve"> </w:t>
      </w:r>
      <w:r w:rsidRPr="00D0247B">
        <w:t>734.3. Examples of activities that are not deemed re</w:t>
      </w:r>
      <w:r w:rsidR="00556E37">
        <w:t>-</w:t>
      </w:r>
      <w:r w:rsidRPr="00D0247B">
        <w:t xml:space="preserve">exports are in </w:t>
      </w:r>
      <w:r w:rsidR="005D130E" w:rsidRPr="00994F65">
        <w:t>§</w:t>
      </w:r>
      <w:r w:rsidR="005D130E">
        <w:t xml:space="preserve"> </w:t>
      </w:r>
      <w:r w:rsidRPr="00D0247B">
        <w:t>734.20</w:t>
      </w:r>
      <w:r w:rsidR="00A03F1C">
        <w:t xml:space="preserve"> of the EAR</w:t>
      </w:r>
      <w:r w:rsidRPr="00D0247B">
        <w:t>)</w:t>
      </w:r>
    </w:p>
  </w:footnote>
  <w:footnote w:id="15">
    <w:p w14:paraId="248DE42E" w14:textId="6F2110F0" w:rsidR="00CE0C82" w:rsidRDefault="00CE0C82" w:rsidP="00CE0C82">
      <w:pPr>
        <w:pStyle w:val="FootnoteText"/>
      </w:pPr>
      <w:r>
        <w:rPr>
          <w:rStyle w:val="FootnoteReference"/>
        </w:rPr>
        <w:footnoteRef/>
      </w:r>
      <w:r>
        <w:t xml:space="preserve"> ‘Release’ is defined in </w:t>
      </w:r>
      <w:r w:rsidR="005D130E" w:rsidRPr="00994F65">
        <w:t>§</w:t>
      </w:r>
      <w:r w:rsidRPr="00465BF8">
        <w:t xml:space="preserve"> </w:t>
      </w:r>
      <w:r>
        <w:t xml:space="preserve">734.15 </w:t>
      </w:r>
      <w:r w:rsidR="00A03F1C">
        <w:t xml:space="preserve">of the EAR </w:t>
      </w:r>
      <w:r>
        <w:t>– providing visual or other inspection of items or oral or written exchanges that reveal “technology” or source code, including release of access information (</w:t>
      </w:r>
      <w:proofErr w:type="spellStart"/>
      <w:proofErr w:type="gramStart"/>
      <w:r>
        <w:t>ie</w:t>
      </w:r>
      <w:proofErr w:type="spellEnd"/>
      <w:proofErr w:type="gramEnd"/>
      <w:r>
        <w:t xml:space="preserve"> provision of software keys) </w:t>
      </w:r>
    </w:p>
    <w:p w14:paraId="72778F8D" w14:textId="77777777" w:rsidR="00C84CDD" w:rsidRDefault="00C84CDD" w:rsidP="00CE0C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A907" w14:textId="0C5D9300" w:rsidR="009C1F6C" w:rsidRDefault="009C1F6C" w:rsidP="0061546B">
    <w:pPr>
      <w:tabs>
        <w:tab w:val="center" w:pos="4513"/>
        <w:tab w:val="right" w:pos="9026"/>
      </w:tabs>
      <w:spacing w:after="0" w:line="240" w:lineRule="auto"/>
      <w:jc w:val="both"/>
      <w:rPr>
        <w:b/>
        <w:i/>
      </w:rPr>
    </w:pPr>
    <w:r w:rsidRPr="00D0247B">
      <w:rPr>
        <w:b/>
        <w:bCs/>
        <w:noProof/>
        <w:lang w:eastAsia="en-GB"/>
      </w:rPr>
      <w:drawing>
        <wp:anchor distT="0" distB="0" distL="114300" distR="114300" simplePos="0" relativeHeight="251661312" behindDoc="0" locked="0" layoutInCell="1" allowOverlap="1" wp14:anchorId="20B1A380" wp14:editId="30731800">
          <wp:simplePos x="0" y="0"/>
          <wp:positionH relativeFrom="column">
            <wp:posOffset>3763645</wp:posOffset>
          </wp:positionH>
          <wp:positionV relativeFrom="paragraph">
            <wp:posOffset>45720</wp:posOffset>
          </wp:positionV>
          <wp:extent cx="2644140" cy="485140"/>
          <wp:effectExtent l="0" t="0" r="3810" b="0"/>
          <wp:wrapSquare wrapText="bothSides"/>
          <wp:docPr id="1" name="Picture 1" descr="L:\Cases\UAS\Legal Services Office\Export Control - US export control compliance 13380\current\HEECA-full-width-banner_TE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ases\UAS\Legal Services Office\Export Control - US export control compliance 13380\current\HEECA-full-width-banner_TEAL-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140" cy="485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noProof/>
        <w:lang w:eastAsia="en-GB"/>
      </w:rPr>
      <w:drawing>
        <wp:anchor distT="0" distB="0" distL="114300" distR="114300" simplePos="0" relativeHeight="251659264" behindDoc="1" locked="0" layoutInCell="1" allowOverlap="1" wp14:anchorId="2564F74D" wp14:editId="2D7005B6">
          <wp:simplePos x="0" y="0"/>
          <wp:positionH relativeFrom="column">
            <wp:posOffset>0</wp:posOffset>
          </wp:positionH>
          <wp:positionV relativeFrom="paragraph">
            <wp:posOffset>-635</wp:posOffset>
          </wp:positionV>
          <wp:extent cx="2250000" cy="590400"/>
          <wp:effectExtent l="0" t="0" r="0" b="635"/>
          <wp:wrapNone/>
          <wp:docPr id="575997979" name="Picture 57599797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997979" name="Picture 575997979" descr="A black text on a white background&#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50000" cy="590400"/>
                  </a:xfrm>
                  <a:prstGeom prst="rect">
                    <a:avLst/>
                  </a:prstGeom>
                  <a:noFill/>
                </pic:spPr>
              </pic:pic>
            </a:graphicData>
          </a:graphic>
          <wp14:sizeRelH relativeFrom="margin">
            <wp14:pctWidth>0</wp14:pctWidth>
          </wp14:sizeRelH>
          <wp14:sizeRelV relativeFrom="margin">
            <wp14:pctHeight>0</wp14:pctHeight>
          </wp14:sizeRelV>
        </wp:anchor>
      </w:drawing>
    </w:r>
  </w:p>
  <w:p w14:paraId="4BF9F557" w14:textId="21D7F493" w:rsidR="009C1F6C" w:rsidRDefault="009C1F6C" w:rsidP="0061546B">
    <w:pPr>
      <w:tabs>
        <w:tab w:val="center" w:pos="4513"/>
        <w:tab w:val="right" w:pos="9026"/>
      </w:tabs>
      <w:spacing w:after="0" w:line="240" w:lineRule="auto"/>
      <w:jc w:val="both"/>
      <w:rPr>
        <w:b/>
        <w:i/>
      </w:rPr>
    </w:pPr>
  </w:p>
  <w:p w14:paraId="46936402" w14:textId="3A23D98C" w:rsidR="009C1F6C" w:rsidRDefault="009C1F6C" w:rsidP="0061546B">
    <w:pPr>
      <w:tabs>
        <w:tab w:val="center" w:pos="4513"/>
        <w:tab w:val="right" w:pos="9026"/>
      </w:tabs>
      <w:spacing w:after="0" w:line="240" w:lineRule="auto"/>
      <w:jc w:val="both"/>
      <w:rPr>
        <w:b/>
        <w:i/>
      </w:rPr>
    </w:pPr>
  </w:p>
  <w:p w14:paraId="2BF17D11" w14:textId="77777777" w:rsidR="009C1F6C" w:rsidRDefault="009C1F6C" w:rsidP="0061546B">
    <w:pPr>
      <w:tabs>
        <w:tab w:val="center" w:pos="4513"/>
        <w:tab w:val="right" w:pos="9026"/>
      </w:tabs>
      <w:spacing w:after="0" w:line="240" w:lineRule="auto"/>
      <w:jc w:val="both"/>
      <w:rPr>
        <w:b/>
        <w:i/>
      </w:rPr>
    </w:pPr>
  </w:p>
  <w:p w14:paraId="543CFA14" w14:textId="77777777" w:rsidR="0061546B" w:rsidRDefault="00615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04F"/>
    <w:multiLevelType w:val="hybridMultilevel"/>
    <w:tmpl w:val="3AAC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38FE"/>
    <w:multiLevelType w:val="hybridMultilevel"/>
    <w:tmpl w:val="316A2D62"/>
    <w:lvl w:ilvl="0" w:tplc="83BC4380">
      <w:start w:val="1"/>
      <w:numFmt w:val="bullet"/>
      <w:lvlText w:val="•"/>
      <w:lvlJc w:val="left"/>
      <w:pPr>
        <w:tabs>
          <w:tab w:val="num" w:pos="720"/>
        </w:tabs>
        <w:ind w:left="720" w:hanging="360"/>
      </w:pPr>
      <w:rPr>
        <w:rFonts w:ascii="Arial" w:hAnsi="Arial" w:hint="default"/>
      </w:rPr>
    </w:lvl>
    <w:lvl w:ilvl="1" w:tplc="F9108706" w:tentative="1">
      <w:start w:val="1"/>
      <w:numFmt w:val="bullet"/>
      <w:lvlText w:val="•"/>
      <w:lvlJc w:val="left"/>
      <w:pPr>
        <w:tabs>
          <w:tab w:val="num" w:pos="1440"/>
        </w:tabs>
        <w:ind w:left="1440" w:hanging="360"/>
      </w:pPr>
      <w:rPr>
        <w:rFonts w:ascii="Arial" w:hAnsi="Arial" w:hint="default"/>
      </w:rPr>
    </w:lvl>
    <w:lvl w:ilvl="2" w:tplc="77E2B514" w:tentative="1">
      <w:start w:val="1"/>
      <w:numFmt w:val="bullet"/>
      <w:lvlText w:val="•"/>
      <w:lvlJc w:val="left"/>
      <w:pPr>
        <w:tabs>
          <w:tab w:val="num" w:pos="2160"/>
        </w:tabs>
        <w:ind w:left="2160" w:hanging="360"/>
      </w:pPr>
      <w:rPr>
        <w:rFonts w:ascii="Arial" w:hAnsi="Arial" w:hint="default"/>
      </w:rPr>
    </w:lvl>
    <w:lvl w:ilvl="3" w:tplc="5486264C" w:tentative="1">
      <w:start w:val="1"/>
      <w:numFmt w:val="bullet"/>
      <w:lvlText w:val="•"/>
      <w:lvlJc w:val="left"/>
      <w:pPr>
        <w:tabs>
          <w:tab w:val="num" w:pos="2880"/>
        </w:tabs>
        <w:ind w:left="2880" w:hanging="360"/>
      </w:pPr>
      <w:rPr>
        <w:rFonts w:ascii="Arial" w:hAnsi="Arial" w:hint="default"/>
      </w:rPr>
    </w:lvl>
    <w:lvl w:ilvl="4" w:tplc="9D4CFD72" w:tentative="1">
      <w:start w:val="1"/>
      <w:numFmt w:val="bullet"/>
      <w:lvlText w:val="•"/>
      <w:lvlJc w:val="left"/>
      <w:pPr>
        <w:tabs>
          <w:tab w:val="num" w:pos="3600"/>
        </w:tabs>
        <w:ind w:left="3600" w:hanging="360"/>
      </w:pPr>
      <w:rPr>
        <w:rFonts w:ascii="Arial" w:hAnsi="Arial" w:hint="default"/>
      </w:rPr>
    </w:lvl>
    <w:lvl w:ilvl="5" w:tplc="A544CA3E" w:tentative="1">
      <w:start w:val="1"/>
      <w:numFmt w:val="bullet"/>
      <w:lvlText w:val="•"/>
      <w:lvlJc w:val="left"/>
      <w:pPr>
        <w:tabs>
          <w:tab w:val="num" w:pos="4320"/>
        </w:tabs>
        <w:ind w:left="4320" w:hanging="360"/>
      </w:pPr>
      <w:rPr>
        <w:rFonts w:ascii="Arial" w:hAnsi="Arial" w:hint="default"/>
      </w:rPr>
    </w:lvl>
    <w:lvl w:ilvl="6" w:tplc="66E855B0" w:tentative="1">
      <w:start w:val="1"/>
      <w:numFmt w:val="bullet"/>
      <w:lvlText w:val="•"/>
      <w:lvlJc w:val="left"/>
      <w:pPr>
        <w:tabs>
          <w:tab w:val="num" w:pos="5040"/>
        </w:tabs>
        <w:ind w:left="5040" w:hanging="360"/>
      </w:pPr>
      <w:rPr>
        <w:rFonts w:ascii="Arial" w:hAnsi="Arial" w:hint="default"/>
      </w:rPr>
    </w:lvl>
    <w:lvl w:ilvl="7" w:tplc="AC70D5EA" w:tentative="1">
      <w:start w:val="1"/>
      <w:numFmt w:val="bullet"/>
      <w:lvlText w:val="•"/>
      <w:lvlJc w:val="left"/>
      <w:pPr>
        <w:tabs>
          <w:tab w:val="num" w:pos="5760"/>
        </w:tabs>
        <w:ind w:left="5760" w:hanging="360"/>
      </w:pPr>
      <w:rPr>
        <w:rFonts w:ascii="Arial" w:hAnsi="Arial" w:hint="default"/>
      </w:rPr>
    </w:lvl>
    <w:lvl w:ilvl="8" w:tplc="1BF25C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13477B"/>
    <w:multiLevelType w:val="hybridMultilevel"/>
    <w:tmpl w:val="E4CE6056"/>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3" w15:restartNumberingAfterBreak="0">
    <w:nsid w:val="1F3B5B22"/>
    <w:multiLevelType w:val="hybridMultilevel"/>
    <w:tmpl w:val="55BC69E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D026DFD"/>
    <w:multiLevelType w:val="hybridMultilevel"/>
    <w:tmpl w:val="81C28ED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27912"/>
    <w:multiLevelType w:val="hybridMultilevel"/>
    <w:tmpl w:val="74F43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2646640"/>
    <w:multiLevelType w:val="hybridMultilevel"/>
    <w:tmpl w:val="049ACB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2E6F03"/>
    <w:multiLevelType w:val="hybridMultilevel"/>
    <w:tmpl w:val="1B82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87901"/>
    <w:multiLevelType w:val="hybridMultilevel"/>
    <w:tmpl w:val="000E82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AC478F9"/>
    <w:multiLevelType w:val="hybridMultilevel"/>
    <w:tmpl w:val="58680C42"/>
    <w:lvl w:ilvl="0" w:tplc="51AA6F6E">
      <w:numFmt w:val="bullet"/>
      <w:lvlText w:val="•"/>
      <w:lvlJc w:val="left"/>
      <w:pPr>
        <w:ind w:left="1516" w:hanging="360"/>
      </w:pPr>
      <w:rPr>
        <w:rFonts w:ascii="Calibri" w:eastAsiaTheme="minorHAnsi" w:hAnsi="Calibri" w:cs="Calibri"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num w:numId="1" w16cid:durableId="1489831134">
    <w:abstractNumId w:val="1"/>
  </w:num>
  <w:num w:numId="2" w16cid:durableId="836044088">
    <w:abstractNumId w:val="3"/>
  </w:num>
  <w:num w:numId="3" w16cid:durableId="409428168">
    <w:abstractNumId w:val="8"/>
  </w:num>
  <w:num w:numId="4" w16cid:durableId="1157261076">
    <w:abstractNumId w:val="0"/>
  </w:num>
  <w:num w:numId="5" w16cid:durableId="1377437842">
    <w:abstractNumId w:val="5"/>
  </w:num>
  <w:num w:numId="6" w16cid:durableId="1075125095">
    <w:abstractNumId w:val="2"/>
  </w:num>
  <w:num w:numId="7" w16cid:durableId="2068381973">
    <w:abstractNumId w:val="7"/>
  </w:num>
  <w:num w:numId="8" w16cid:durableId="1804080625">
    <w:abstractNumId w:val="9"/>
  </w:num>
  <w:num w:numId="9" w16cid:durableId="551622218">
    <w:abstractNumId w:val="4"/>
  </w:num>
  <w:num w:numId="10" w16cid:durableId="843981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8E"/>
    <w:rsid w:val="00037A64"/>
    <w:rsid w:val="00091100"/>
    <w:rsid w:val="000E1829"/>
    <w:rsid w:val="000E618E"/>
    <w:rsid w:val="001421B6"/>
    <w:rsid w:val="00165717"/>
    <w:rsid w:val="0018375C"/>
    <w:rsid w:val="001E70C8"/>
    <w:rsid w:val="0023680D"/>
    <w:rsid w:val="00250E37"/>
    <w:rsid w:val="00256D14"/>
    <w:rsid w:val="00280F90"/>
    <w:rsid w:val="00293659"/>
    <w:rsid w:val="002A1454"/>
    <w:rsid w:val="00325517"/>
    <w:rsid w:val="00330066"/>
    <w:rsid w:val="00375603"/>
    <w:rsid w:val="003D03BD"/>
    <w:rsid w:val="00427476"/>
    <w:rsid w:val="004328D7"/>
    <w:rsid w:val="00460522"/>
    <w:rsid w:val="004B3DFB"/>
    <w:rsid w:val="00541320"/>
    <w:rsid w:val="00550FA4"/>
    <w:rsid w:val="00556E37"/>
    <w:rsid w:val="00561F4B"/>
    <w:rsid w:val="005B106F"/>
    <w:rsid w:val="005D130E"/>
    <w:rsid w:val="005E1E54"/>
    <w:rsid w:val="005E2285"/>
    <w:rsid w:val="00615185"/>
    <w:rsid w:val="0061546B"/>
    <w:rsid w:val="00623ECB"/>
    <w:rsid w:val="006370AD"/>
    <w:rsid w:val="006A28B4"/>
    <w:rsid w:val="006B48FB"/>
    <w:rsid w:val="007520FB"/>
    <w:rsid w:val="00781B82"/>
    <w:rsid w:val="00804F30"/>
    <w:rsid w:val="00883E43"/>
    <w:rsid w:val="008B285F"/>
    <w:rsid w:val="008F00F9"/>
    <w:rsid w:val="00901235"/>
    <w:rsid w:val="00925B91"/>
    <w:rsid w:val="00943A78"/>
    <w:rsid w:val="009C1F6C"/>
    <w:rsid w:val="00A03F1C"/>
    <w:rsid w:val="00A05FB2"/>
    <w:rsid w:val="00A156BB"/>
    <w:rsid w:val="00A3755A"/>
    <w:rsid w:val="00A44BAF"/>
    <w:rsid w:val="00A5423C"/>
    <w:rsid w:val="00A55AB4"/>
    <w:rsid w:val="00AC28DE"/>
    <w:rsid w:val="00AD5111"/>
    <w:rsid w:val="00B42A60"/>
    <w:rsid w:val="00BD045E"/>
    <w:rsid w:val="00C0421E"/>
    <w:rsid w:val="00C059AF"/>
    <w:rsid w:val="00C36994"/>
    <w:rsid w:val="00C84CDD"/>
    <w:rsid w:val="00C9519F"/>
    <w:rsid w:val="00C964AA"/>
    <w:rsid w:val="00CB3089"/>
    <w:rsid w:val="00CC6AEB"/>
    <w:rsid w:val="00CE0C82"/>
    <w:rsid w:val="00CF79FF"/>
    <w:rsid w:val="00D0247B"/>
    <w:rsid w:val="00D20031"/>
    <w:rsid w:val="00D309F6"/>
    <w:rsid w:val="00D46BF3"/>
    <w:rsid w:val="00D54B5E"/>
    <w:rsid w:val="00D642C8"/>
    <w:rsid w:val="00D93928"/>
    <w:rsid w:val="00DC5ABE"/>
    <w:rsid w:val="00DF3324"/>
    <w:rsid w:val="00E55414"/>
    <w:rsid w:val="00E7510E"/>
    <w:rsid w:val="00EB329C"/>
    <w:rsid w:val="00EF4EE3"/>
    <w:rsid w:val="00F14C03"/>
    <w:rsid w:val="00F37C87"/>
    <w:rsid w:val="00F623C9"/>
    <w:rsid w:val="00FA7937"/>
    <w:rsid w:val="00FC34B2"/>
    <w:rsid w:val="00FD5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1780F"/>
  <w15:chartTrackingRefBased/>
  <w15:docId w15:val="{ECD6F876-5507-4F3D-95E0-81516D9E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18E"/>
    <w:pPr>
      <w:ind w:left="720"/>
      <w:contextualSpacing/>
    </w:pPr>
  </w:style>
  <w:style w:type="character" w:styleId="Hyperlink">
    <w:name w:val="Hyperlink"/>
    <w:basedOn w:val="DefaultParagraphFont"/>
    <w:uiPriority w:val="99"/>
    <w:unhideWhenUsed/>
    <w:rsid w:val="000E618E"/>
    <w:rPr>
      <w:color w:val="0563C1" w:themeColor="hyperlink"/>
      <w:u w:val="single"/>
    </w:rPr>
  </w:style>
  <w:style w:type="paragraph" w:styleId="FootnoteText">
    <w:name w:val="footnote text"/>
    <w:basedOn w:val="Normal"/>
    <w:link w:val="FootnoteTextChar"/>
    <w:uiPriority w:val="99"/>
    <w:unhideWhenUsed/>
    <w:rsid w:val="00943A78"/>
    <w:pPr>
      <w:spacing w:after="0" w:line="240" w:lineRule="auto"/>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943A78"/>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943A78"/>
    <w:rPr>
      <w:vertAlign w:val="superscript"/>
    </w:rPr>
  </w:style>
  <w:style w:type="paragraph" w:styleId="EndnoteText">
    <w:name w:val="endnote text"/>
    <w:basedOn w:val="Normal"/>
    <w:link w:val="EndnoteTextChar"/>
    <w:uiPriority w:val="99"/>
    <w:semiHidden/>
    <w:unhideWhenUsed/>
    <w:rsid w:val="00943A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3A78"/>
    <w:rPr>
      <w:sz w:val="20"/>
      <w:szCs w:val="20"/>
    </w:rPr>
  </w:style>
  <w:style w:type="character" w:styleId="EndnoteReference">
    <w:name w:val="endnote reference"/>
    <w:basedOn w:val="DefaultParagraphFont"/>
    <w:uiPriority w:val="99"/>
    <w:semiHidden/>
    <w:unhideWhenUsed/>
    <w:rsid w:val="00943A78"/>
    <w:rPr>
      <w:vertAlign w:val="superscript"/>
    </w:rPr>
  </w:style>
  <w:style w:type="paragraph" w:styleId="BalloonText">
    <w:name w:val="Balloon Text"/>
    <w:basedOn w:val="Normal"/>
    <w:link w:val="BalloonTextChar"/>
    <w:uiPriority w:val="99"/>
    <w:semiHidden/>
    <w:unhideWhenUsed/>
    <w:rsid w:val="000E1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829"/>
    <w:rPr>
      <w:rFonts w:ascii="Segoe UI" w:hAnsi="Segoe UI" w:cs="Segoe UI"/>
      <w:sz w:val="18"/>
      <w:szCs w:val="18"/>
    </w:rPr>
  </w:style>
  <w:style w:type="paragraph" w:styleId="Header">
    <w:name w:val="header"/>
    <w:basedOn w:val="Normal"/>
    <w:link w:val="HeaderChar"/>
    <w:uiPriority w:val="99"/>
    <w:unhideWhenUsed/>
    <w:rsid w:val="00615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46B"/>
  </w:style>
  <w:style w:type="paragraph" w:styleId="Footer">
    <w:name w:val="footer"/>
    <w:basedOn w:val="Normal"/>
    <w:link w:val="FooterChar"/>
    <w:uiPriority w:val="99"/>
    <w:unhideWhenUsed/>
    <w:rsid w:val="00615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46B"/>
  </w:style>
  <w:style w:type="paragraph" w:styleId="Revision">
    <w:name w:val="Revision"/>
    <w:hidden/>
    <w:uiPriority w:val="99"/>
    <w:semiHidden/>
    <w:rsid w:val="008F00F9"/>
    <w:pPr>
      <w:spacing w:after="0" w:line="240" w:lineRule="auto"/>
    </w:pPr>
  </w:style>
  <w:style w:type="character" w:styleId="CommentReference">
    <w:name w:val="annotation reference"/>
    <w:basedOn w:val="DefaultParagraphFont"/>
    <w:uiPriority w:val="99"/>
    <w:semiHidden/>
    <w:unhideWhenUsed/>
    <w:rsid w:val="00E55414"/>
    <w:rPr>
      <w:sz w:val="16"/>
      <w:szCs w:val="16"/>
    </w:rPr>
  </w:style>
  <w:style w:type="paragraph" w:styleId="CommentText">
    <w:name w:val="annotation text"/>
    <w:basedOn w:val="Normal"/>
    <w:link w:val="CommentTextChar"/>
    <w:uiPriority w:val="99"/>
    <w:semiHidden/>
    <w:unhideWhenUsed/>
    <w:rsid w:val="00E55414"/>
    <w:pPr>
      <w:spacing w:line="240" w:lineRule="auto"/>
    </w:pPr>
    <w:rPr>
      <w:sz w:val="20"/>
      <w:szCs w:val="20"/>
    </w:rPr>
  </w:style>
  <w:style w:type="character" w:customStyle="1" w:styleId="CommentTextChar">
    <w:name w:val="Comment Text Char"/>
    <w:basedOn w:val="DefaultParagraphFont"/>
    <w:link w:val="CommentText"/>
    <w:uiPriority w:val="99"/>
    <w:semiHidden/>
    <w:rsid w:val="00E55414"/>
    <w:rPr>
      <w:sz w:val="20"/>
      <w:szCs w:val="20"/>
    </w:rPr>
  </w:style>
  <w:style w:type="paragraph" w:styleId="CommentSubject">
    <w:name w:val="annotation subject"/>
    <w:basedOn w:val="CommentText"/>
    <w:next w:val="CommentText"/>
    <w:link w:val="CommentSubjectChar"/>
    <w:uiPriority w:val="99"/>
    <w:semiHidden/>
    <w:unhideWhenUsed/>
    <w:rsid w:val="00E55414"/>
    <w:rPr>
      <w:b/>
      <w:bCs/>
    </w:rPr>
  </w:style>
  <w:style w:type="character" w:customStyle="1" w:styleId="CommentSubjectChar">
    <w:name w:val="Comment Subject Char"/>
    <w:basedOn w:val="CommentTextChar"/>
    <w:link w:val="CommentSubject"/>
    <w:uiPriority w:val="99"/>
    <w:semiHidden/>
    <w:rsid w:val="00E554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2038">
      <w:bodyDiv w:val="1"/>
      <w:marLeft w:val="0"/>
      <w:marRight w:val="0"/>
      <w:marTop w:val="0"/>
      <w:marBottom w:val="0"/>
      <w:divBdr>
        <w:top w:val="none" w:sz="0" w:space="0" w:color="auto"/>
        <w:left w:val="none" w:sz="0" w:space="0" w:color="auto"/>
        <w:bottom w:val="none" w:sz="0" w:space="0" w:color="auto"/>
        <w:right w:val="none" w:sz="0" w:space="0" w:color="auto"/>
      </w:divBdr>
    </w:div>
    <w:div w:id="367412835">
      <w:bodyDiv w:val="1"/>
      <w:marLeft w:val="0"/>
      <w:marRight w:val="0"/>
      <w:marTop w:val="0"/>
      <w:marBottom w:val="0"/>
      <w:divBdr>
        <w:top w:val="none" w:sz="0" w:space="0" w:color="auto"/>
        <w:left w:val="none" w:sz="0" w:space="0" w:color="auto"/>
        <w:bottom w:val="none" w:sz="0" w:space="0" w:color="auto"/>
        <w:right w:val="none" w:sz="0" w:space="0" w:color="auto"/>
      </w:divBdr>
    </w:div>
    <w:div w:id="1497526566">
      <w:bodyDiv w:val="1"/>
      <w:marLeft w:val="0"/>
      <w:marRight w:val="0"/>
      <w:marTop w:val="0"/>
      <w:marBottom w:val="0"/>
      <w:divBdr>
        <w:top w:val="none" w:sz="0" w:space="0" w:color="auto"/>
        <w:left w:val="none" w:sz="0" w:space="0" w:color="auto"/>
        <w:bottom w:val="none" w:sz="0" w:space="0" w:color="auto"/>
        <w:right w:val="none" w:sz="0" w:space="0" w:color="auto"/>
      </w:divBdr>
    </w:div>
    <w:div w:id="1617640276">
      <w:bodyDiv w:val="1"/>
      <w:marLeft w:val="0"/>
      <w:marRight w:val="0"/>
      <w:marTop w:val="0"/>
      <w:marBottom w:val="0"/>
      <w:divBdr>
        <w:top w:val="none" w:sz="0" w:space="0" w:color="auto"/>
        <w:left w:val="none" w:sz="0" w:space="0" w:color="auto"/>
        <w:bottom w:val="none" w:sz="0" w:space="0" w:color="auto"/>
        <w:right w:val="none" w:sz="0" w:space="0" w:color="auto"/>
      </w:divBdr>
    </w:div>
    <w:div w:id="2062823755">
      <w:bodyDiv w:val="1"/>
      <w:marLeft w:val="0"/>
      <w:marRight w:val="0"/>
      <w:marTop w:val="0"/>
      <w:marBottom w:val="0"/>
      <w:divBdr>
        <w:top w:val="none" w:sz="0" w:space="0" w:color="auto"/>
        <w:left w:val="none" w:sz="0" w:space="0" w:color="auto"/>
        <w:bottom w:val="none" w:sz="0" w:space="0" w:color="auto"/>
        <w:right w:val="none" w:sz="0" w:space="0" w:color="auto"/>
      </w:divBdr>
      <w:divsChild>
        <w:div w:id="6560283">
          <w:marLeft w:val="547"/>
          <w:marRight w:val="0"/>
          <w:marTop w:val="200"/>
          <w:marBottom w:val="0"/>
          <w:divBdr>
            <w:top w:val="none" w:sz="0" w:space="0" w:color="auto"/>
            <w:left w:val="none" w:sz="0" w:space="0" w:color="auto"/>
            <w:bottom w:val="none" w:sz="0" w:space="0" w:color="auto"/>
            <w:right w:val="none" w:sz="0" w:space="0" w:color="auto"/>
          </w:divBdr>
        </w:div>
        <w:div w:id="1837839829">
          <w:marLeft w:val="547"/>
          <w:marRight w:val="0"/>
          <w:marTop w:val="200"/>
          <w:marBottom w:val="0"/>
          <w:divBdr>
            <w:top w:val="none" w:sz="0" w:space="0" w:color="auto"/>
            <w:left w:val="none" w:sz="0" w:space="0" w:color="auto"/>
            <w:bottom w:val="none" w:sz="0" w:space="0" w:color="auto"/>
            <w:right w:val="none" w:sz="0" w:space="0" w:color="auto"/>
          </w:divBdr>
        </w:div>
        <w:div w:id="703867141">
          <w:marLeft w:val="547"/>
          <w:marRight w:val="0"/>
          <w:marTop w:val="200"/>
          <w:marBottom w:val="0"/>
          <w:divBdr>
            <w:top w:val="none" w:sz="0" w:space="0" w:color="auto"/>
            <w:left w:val="none" w:sz="0" w:space="0" w:color="auto"/>
            <w:bottom w:val="none" w:sz="0" w:space="0" w:color="auto"/>
            <w:right w:val="none" w:sz="0" w:space="0" w:color="auto"/>
          </w:divBdr>
        </w:div>
        <w:div w:id="28751295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de.gov/data-visualization/csl-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s.doc.gov/index.php/documents/regulations-docs/2258-part-772-definitions-of-terms-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is.doc.gov/index.php/regulations/commerce-control-list-c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A69C3-C3F1-48D6-AF39-078A0156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Boyle</dc:creator>
  <cp:keywords/>
  <dc:description/>
  <cp:lastModifiedBy>Nadine Tschacksch</cp:lastModifiedBy>
  <cp:revision>5</cp:revision>
  <dcterms:created xsi:type="dcterms:W3CDTF">2023-07-06T14:26:00Z</dcterms:created>
  <dcterms:modified xsi:type="dcterms:W3CDTF">2023-12-06T13:22:00Z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ClientMatter">
    <vt:lpwstr>SPBLLPNONE</vt:lpwstr>
  </property>
  <property fmtid="{D5CDD505-2E9C-101B-9397-08002B2CF9AE}" pid="3" name="dpClientTag">
    <vt:lpwstr/>
  </property>
</Properties>
</file>